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児童扶養手当法による児童扶養手当の額等の改定の特例に関する法律第二項の規定に基づき児童扶養手当等の改定額を定める政令の一部を改正する等の政令　抄</w:t>
        <w:br/>
        <w:t>（平成二十五年政令第二百六十一号）</w:t>
      </w:r>
    </w:p>
    <w:p>
      <w:pPr>
        <w:pStyle w:val="Heading4"/>
      </w:pPr>
      <w:r>
        <w:t>第二条（児童扶養手当法施行令の特例）</w:t>
      </w:r>
    </w:p>
    <w:p>
      <w:r>
        <w:t>平成二十六年四月から平成二十七年三月までの月分の児童扶養手当について、児童扶養手当法による児童扶養手当の額等の改定の特例に関する法律第一項の規定の適用がある場合においては、児童扶養手当法施行令（昭和三十六年政令第四百五号）第二条の四第二項中「〇・〇一八〇五二〇」とあるのは、「〇・〇一八一〇九八」とする。</w:t>
      </w:r>
    </w:p>
    <w:p>
      <w:r>
        <w:br w:type="page"/>
      </w:r>
    </w:p>
    <w:p>
      <w:pPr>
        <w:pStyle w:val="Heading1"/>
      </w:pPr>
      <w:r>
        <w:t>附　則</w:t>
      </w:r>
    </w:p>
    <w:p>
      <w:r>
        <w:t>この政令は、平成二十五年十月一日から施行する。</w:t>
      </w:r>
    </w:p>
    <w:p>
      <w:r>
        <w:br w:type="page"/>
      </w:r>
    </w:p>
    <w:p>
      <w:pPr>
        <w:pStyle w:val="Heading1"/>
      </w:pPr>
      <w:r>
        <w:t>附　則（平成二六年三月三一日政令第一一三号）</w:t>
      </w:r>
    </w:p>
    <w:p>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児童扶養手当法による児童扶養手当の額等の改定の特例に関する法律第二項の規定に基づき児童扶養手当等の改定額を定める政令の一部を改正する等の政令　抄</w:t>
      <w:br/>
      <w:tab/>
      <w:t>（平成二十五年政令第二百六十一号）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児童扶養手当法による児童扶養手当の額等の改定の特例に関する法律第二項の規定に基づき児童扶養手当等の改定額を定める政令の一部を改正する等の政令　抄（平成二十五年政令第二百六十一号）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