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入国審査官及び入国警備官服制</w:t>
        <w:br/>
        <w:t>（平成五年法務省令第二十六号）</w:t>
      </w:r>
    </w:p>
    <w:p>
      <w:r>
        <w:t>入国審査官及び入国警備官服制の全部を改正する省令</w:t>
      </w:r>
    </w:p>
    <w:p>
      <w:r>
        <w:t>入国審査官及び入国警備官服制（昭和五十六年法務省令第四十二号）の全部を次のように改正する。</w:t>
      </w:r>
    </w:p>
    <w:p>
      <w:r>
        <w:t>入国審査官及び入国警備官の服制は、別表に定めるところによる。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この省令は、平成五年十月一日から施行する。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入国審査官及び入国警備官は、この省令の規定にかかわらず、当分の間、なお従前の服制によることができる。</w:t>
      </w:r>
    </w:p>
    <w:p>
      <w:r>
        <w:br w:type="page"/>
      </w:r>
    </w:p>
    <w:p>
      <w:pPr>
        <w:pStyle w:val="Heading1"/>
      </w:pPr>
      <w:r>
        <w:t>附則（平成一〇年四月九日法務省令第二五号）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附則（平成一六年八月一三日法務省令第五三号）</w:t>
      </w:r>
    </w:p>
    <w:p>
      <w:r>
        <w:t>この省令は、公布の日から施行する。</w:t>
      </w:r>
    </w:p>
    <w:p>
      <w:pPr>
        <w:pStyle w:val="ListBullet"/>
        <w:ind w:left="880"/>
      </w:pPr>
      <w:r>
        <w:t>（一）</w:t>
        <w:br/>
        <w:t>男子</w:t>
      </w:r>
    </w:p>
    <w:p>
      <w:pPr>
        <w:pStyle w:val="ListBullet"/>
        <w:ind w:left="880"/>
      </w:pPr>
      <w:r>
        <w:t>（二）</w:t>
        <w:br/>
        <w:t>女子</w:t>
      </w:r>
    </w:p>
    <w:p>
      <w:pPr>
        <w:pStyle w:val="ListBullet"/>
        <w:ind w:left="880"/>
      </w:pPr>
      <w:r>
        <w:t>（三）</w:t>
        <w:br/>
        <w:t>胸章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入国審査官及び入国警備官服制</w:t>
      <w:br/>
      <w:tab/>
      <w:t>（平成五年法務省令第二十六号）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入国審査官及び入国警備官服制（平成五年法務省令第二十六号）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