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公害対策会議令</w:t>
        <w:br/>
        <w:t>（平成五年政令第三百七十三号）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公害対策会議の庶務は、環境省大臣官房総務課において処理する。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前二条に定めるもののほか、議事の手続その他公害対策会議の運営に関し必要な事項は、会長が公害対策会議に諮って定める。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公害対策会議令（昭和四十二年政令第三百四十九号）は、廃止する。</w:t>
      </w:r>
    </w:p>
    <w:p>
      <w:r>
        <w:br w:type="page"/>
      </w:r>
    </w:p>
    <w:p>
      <w:pPr>
        <w:pStyle w:val="Heading1"/>
      </w:pPr>
      <w:r>
        <w:t>附　則（平成一二年六月七日政令第三一三号）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公害対策会議令</w:t>
      <w:br/>
      <w:tab/>
      <w:t>（平成五年政令第三百七十三号）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公害対策会議令（平成五年政令第三百七十三号）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