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公害等調整委員会の事務局総務課に調査官を置く省令</w:t>
        <w:br/>
        <w:t>（昭和五十四年総理府令第四十四号）</w:t>
      </w:r>
    </w:p>
    <w:p>
      <w:r>
        <w:t>事務局総務課に調査官二人を置く。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調査官は、命を受けて、公害に係る紛争の処理及び鉱業、採石業又は砂利採取業と一般公益又は農業、林業その他の産業との調整に関する専門的事項の調査し、企画し、及び立案する事務に従事する。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　則（昭和五六年四月三日総理府令第一四号）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　則（平成一二年八月一四日　平成一三年総務省令第三号）</w:t>
      </w:r>
    </w:p>
    <w:p>
      <w:r>
        <w:t>この中央省庁等改革推進本部令（次項において「本部令」という。）は、内閣法の一部を改正する法律（平成十一年法律第八十八号）の施行の日（平成十三年一月六日）から施行する。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この本部令は、その施行の日に、電波監理審議会議事規則等の一部を改正する命令（平成十三年総務省令第三号）となるものとする。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公害等調整委員会の事務局総務課に調査官を置く省令</w:t>
      <w:br/>
      <w:tab/>
      <w:t>（昭和五十四年総理府令第四十四号）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公害等調整委員会の事務局総務課に調査官を置く省令（昭和五十四年総理府令第四十四号）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