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公証人法第十三条ノ二の審議会等を定める政令</w:t>
        <w:br/>
        <w:t>（昭和五十九年政令第二百二十二号）</w:t>
      </w:r>
    </w:p>
    <w:p>
      <w:r>
        <w:t>公証人法第十三条ノ二の政令で定める審議会等は、検察官・公証人特別任用等審査会とする。</w:t>
      </w:r>
    </w:p>
    <w:p>
      <w:r>
        <w:br w:type="page"/>
      </w:r>
    </w:p>
    <w:p>
      <w:pPr>
        <w:pStyle w:val="Heading1"/>
      </w:pPr>
      <w:r>
        <w:t>附　則</w:t>
      </w:r>
    </w:p>
    <w:p>
      <w:r>
        <w:t>この政令は、昭和五十九年七月一日から施行する。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p>
      <w:r>
        <w:br w:type="page"/>
      </w:r>
    </w:p>
    <w:p>
      <w:pPr>
        <w:pStyle w:val="Heading1"/>
      </w:pPr>
      <w:r>
        <w:t>附　則（平成一五年一二月三日政令第四七七号）</w:t>
      </w:r>
    </w:p>
    <w:p>
      <w:pPr>
        <w:pStyle w:val="Heading4"/>
      </w:pPr>
      <w:r>
        <w:t>第一条（施行期日）</w:t>
      </w:r>
    </w:p>
    <w:p>
      <w:r>
        <w:t>この政令は、平成十六年一月一日から施行する。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公証人法第十三条ノ二の審議会等を定める政令</w:t>
      <w:br/>
      <w:tab/>
      <w:t>（昭和五十九年政令第二百二十二号）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公証人法第十三条ノ二の審議会等を定める政令（昭和五十九年政令第二百二十二号）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