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公証人身元保証金令</w:t>
        <w:br/>
        <w:t>（昭和二十四年政令第百三十九号）</w:t>
      </w:r>
    </w:p>
    <w:p>
      <w:pPr>
        <w:pStyle w:val="Heading4"/>
      </w:pPr>
      <w:r>
        <w:t>第一条</w:t>
      </w:r>
    </w:p>
    <w:p>
      <w:r>
        <w:t>公証人の納むべき身元保証金の額は、次の区別に従う。</w:t>
      </w:r>
    </w:p>
    <w:p>
      <w:pPr>
        <w:pStyle w:val="Heading4"/>
      </w:pPr>
      <w:r>
        <w:t>第二条</w:t>
      </w:r>
    </w:p>
    <w:p>
      <w:r>
        <w:t>身元保証金は、現金又は国債証券で納付しなければならない。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この政令は、昭和二十四年六月一日から施行する。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公証人身元保証金令</w:t>
      <w:br/>
      <w:tab/>
      <w:t>（昭和二十四年政令第百三十九号）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公証人身元保証金令（昭和二十四年政令第百三十九号）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