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公認会計士・監査審査会令</w:t>
        <w:br/>
        <w:t>（平成十二年政令第二百六十五号）</w:t>
      </w:r>
    </w:p>
    <w:p>
      <w:pPr>
        <w:pStyle w:val="Heading4"/>
      </w:pPr>
      <w:r>
        <w:t>第一条（公認会計士・監査審査会の事務局長等）</w:t>
      </w:r>
    </w:p>
    <w:p>
      <w:r>
        <w:t>公認会計士・監査審査会（以下「審査会」という。）の事務局長は、関係のある他の職を占める者をもって充てられるものとする。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前項に定めるもののほか、審査会の事務局の内部組織の細目は、内閣府令で定める。</w:t>
      </w:r>
    </w:p>
    <w:p>
      <w:pPr>
        <w:pStyle w:val="Heading4"/>
      </w:pPr>
      <w:r>
        <w:t>第二条（雑則）</w:t>
      </w:r>
    </w:p>
    <w:p>
      <w:r>
        <w:t>この政令に定めるもののほか、議事の手続その他審査会の運営に関し必要な事項は、会長が審査会に諮って定める。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この政令は、内閣法の一部を改正する法律（平成十一年法律第八十八号）の施行の日（平成十三年一月六日）から施行する。</w:t>
      </w:r>
    </w:p>
    <w:p>
      <w:r>
        <w:br w:type="page"/>
      </w:r>
    </w:p>
    <w:p>
      <w:pPr>
        <w:pStyle w:val="Heading1"/>
      </w:pPr>
      <w:r>
        <w:t>附則（平成一六年二月二七日政令第二八号）</w:t>
      </w:r>
    </w:p>
    <w:p>
      <w:r>
        <w:t>この政令は、平成十六年四月一日から施行する。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公認会計士・監査審査会令</w:t>
      <w:br/>
      <w:tab/>
      <w:t>（平成十二年政令第二百六十五号）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公認会計士・監査審査会令（平成十二年政令第二百六十五号）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