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公認会計士法の審判手続における参考人及び鑑定人の旅費及び手当に関する政令</w:t>
        <w:br/>
        <w:t>（平成十九年政令第三百五十八号）</w:t>
      </w:r>
    </w:p>
    <w:p>
      <w:pPr>
        <w:pStyle w:val="Heading4"/>
      </w:pPr>
      <w:r>
        <w:t>第一条（旅費）</w:t>
      </w:r>
    </w:p>
    <w:p>
      <w:r>
        <w:t>公認会計士法（以下「法」という。）第三十四条の六十四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桟橋賃を含むものとし、運賃に等級を設ける線路又は船舶による旅行の場合には、運賃の等級を三階級に区分するものについては中級以下で金融庁長官が相当と認める等級の、運賃の等級を二階級に区分するものについては金融庁長官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金融庁長官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って、路程賃は一キロメートルにつき三十七円以内において金融庁長官が相当と認める額によって、航空賃は現に支払った旅客運賃によっ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法第三十四条の六十四の規定により、参考人又は鑑定人が請求することができる手当は、日当、宿泊料及び特別手当とする。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金融庁長官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金融庁長官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特別手当は、鑑定について特別の技能若しくは費用又は長時間を要したときに、鑑定人に対して支給するものとし、その額は、金融庁長官が相当と認める額とする。</w:t>
      </w:r>
    </w:p>
    <w:p>
      <w:pPr>
        <w:pStyle w:val="Heading4"/>
      </w:pPr>
      <w:r>
        <w:t>第三条（旅費等の計算）</w:t>
      </w:r>
    </w:p>
    <w:p>
      <w:r>
        <w:t>旅費（航空賃を除く。）並びに日当及び宿泊料の計算上の旅行日数は、最も経済的な通常の経路及び方法によって旅行した場合の例により計算する。</w:t>
      </w:r>
    </w:p>
    <w:p>
      <w:pPr>
        <w:pStyle w:val="Heading4"/>
      </w:pPr>
      <w:r>
        <w:t>第四条（請求の手続）</w:t>
      </w:r>
    </w:p>
    <w:p>
      <w:r>
        <w:t>旅費及び手当は、参考人については出頭後、鑑定人については鑑定後、いずれも三十日以内に請求しなければならない。</w:t>
      </w:r>
    </w:p>
    <w:p>
      <w:r>
        <w:br w:type="page"/>
      </w:r>
    </w:p>
    <w:p>
      <w:pPr>
        <w:pStyle w:val="Heading1"/>
      </w:pPr>
      <w:r>
        <w:t>附　則</w:t>
      </w:r>
    </w:p>
    <w:p>
      <w:r>
        <w:t>この政令は、公認会計士法等の一部を改正する法律（平成十九年法律第九十九号）の施行の日（平成二十年四月一日）から施行する。</w:t>
      </w:r>
    </w:p>
    <w:p>
      <w:r>
        <w:br w:type="page"/>
      </w:r>
    </w:p>
    <w:p>
      <w:pPr>
        <w:pStyle w:val="Heading1"/>
      </w:pPr>
      <w:r>
        <w:t>附　則（令和元年七月三一日政令第六八号）</w:t>
      </w:r>
    </w:p>
    <w:p>
      <w:r>
        <w:t>この政令は、令和元年八月一日から施行する。</w:t>
      </w:r>
    </w:p>
    <w:p>
      <w:pPr>
        <w:pStyle w:val="Heading5"/>
        <w:ind w:left="440"/>
      </w:pPr>
      <w:r>
        <w:t>２</w:t>
      </w:r>
    </w:p>
    <w:p>
      <w:pPr>
        <w:ind w:left="440"/>
      </w:pPr>
      <w:r>
        <w:t>この政令による改正前の公認会計士法の審判手続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公認会計士法の審判手続における参考人及び鑑定人の旅費及び手当に関する政令</w:t>
      <w:br/>
      <w:tab/>
      <w:t>（平成十九年政令第三百五十八号）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公認会計士法の審判手続における参考人及び鑑定人の旅費及び手当に関する政令（平成十九年政令第三百五十八号）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