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内閣サイバーセキュリティセンターに企画官等を置く規則</w:t>
        <w:br/>
        <w:t>（平成二十八年四月一日内閣総理大臣決定）</w:t>
      </w:r>
    </w:p>
    <w:p>
      <w:pPr>
        <w:pStyle w:val="Heading4"/>
      </w:pPr>
      <w:r>
        <w:t>第一条（企画官）</w:t>
      </w:r>
    </w:p>
    <w:p>
      <w:r>
        <w:t>内閣サイバーセキュリティセンター（以下「センター」という。）に、併任の者を除き、企画官一人を置く。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企画官は、命を受けて、センターの事務のうち、特定事項の企画及び立案に関する事務に従事する。</w:t>
      </w:r>
    </w:p>
    <w:p>
      <w:pPr>
        <w:pStyle w:val="Heading4"/>
      </w:pPr>
      <w:r>
        <w:t>第二条（サイバーセキュリティ監査官）</w:t>
      </w:r>
    </w:p>
    <w:p>
      <w:r>
        <w:t>センターに、サイバーセキュリティ監査官六人を置く。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サイバーセキュリティ監査官は、命を受けて、センターの事務のうち、国の行政機関、独立行政法人及び指定法人（サイバーセキュリティ基本法（平成二十六年法律第百四号）第十三条に規定する指定法人をいう。）におけるサイバーセキュリティの確保に関し必要な監査に関する事務に従事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この規則は、平成二十八年四月一日から施行する。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内閣サイバーセキュリティセンター組織規則（平成二十七年一月八日内閣総理大臣決定）は、廃止する。</w:t>
      </w:r>
    </w:p>
    <w:p>
      <w:r>
        <w:br w:type="page"/>
      </w:r>
    </w:p>
    <w:p>
      <w:pPr>
        <w:pStyle w:val="Heading1"/>
      </w:pPr>
      <w:r>
        <w:t>附則（平成二八年一〇月二一日）</w:t>
      </w:r>
    </w:p>
    <w:p>
      <w:r>
        <w:t>この規則は、平成二十八年十月二十一日から施行する。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内閣サイバーセキュリティセンターに企画官等を置く規則</w:t>
      <w:br/>
      <w:tab/>
      <w:t>（平成二十八年四月一日内閣総理大臣決定）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内閣サイバーセキュリティセンターに企画官等を置く規則（平成二十八年四月一日内閣総理大臣決定）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