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内閣官房内閣人事局の所管する法令に係る情報通信技術を活用した行政の推進等に関する法律の施行に関する内閣官房令</w:t>
        <w:br/>
        <w:t>（令和二年内閣官房令第八号）</w:t>
      </w:r>
    </w:p>
    <w:p>
      <w:pPr>
        <w:pStyle w:val="Heading4"/>
      </w:pPr>
      <w:r>
        <w:t>第一条（趣旨）</w:t>
      </w:r>
    </w:p>
    <w:p>
      <w:r>
        <w:t>内閣官房内閣人事局（以下単に「内閣人事局」という。）の所管する法令に規定する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律及び法律に基づく命令（告示を含む。次項において同じ。）に特段の定めのある場合を除くほか、法及びこの内閣官房令の定めるところによる。</w:t>
      </w:r>
    </w:p>
    <w:p>
      <w:pPr>
        <w:pStyle w:val="Heading5"/>
        <w:ind w:left="440"/>
      </w:pPr>
      <w:r>
        <w:t>２</w:t>
      </w:r>
    </w:p>
    <w:p>
      <w:pPr>
        <w:ind w:left="440"/>
      </w:pPr>
      <w:r>
        <w:t>内閣人事局の所管する法令に規定する手続等（法第六条から第九条までの規定の適用を受けるものを除く。）を電子情報処理組織を使用する方法その他の情報通信技術を利用する方法により行う場合については、他の法律及び法律に基づく命令に特段の定めのある場合を除くほか、法及びこの内閣官房令の規定の例による。</w:t>
      </w:r>
    </w:p>
    <w:p>
      <w:pPr>
        <w:pStyle w:val="Heading4"/>
      </w:pPr>
      <w:r>
        <w:t>第二条（定義）</w:t>
      </w:r>
    </w:p>
    <w:p>
      <w:r>
        <w:t>この内閣官房令において使用する用語は、法において使用する用語の例による。</w:t>
      </w:r>
    </w:p>
    <w:p>
      <w:pPr>
        <w:pStyle w:val="Heading5"/>
        <w:ind w:left="440"/>
      </w:pPr>
      <w:r>
        <w:t>２</w:t>
      </w:r>
    </w:p>
    <w:p>
      <w:pPr>
        <w:ind w:left="440"/>
      </w:pPr>
      <w:r>
        <w:t>この内閣官房令において、次の各号に掲げる用語の意義は、当該各号に定めるところによる。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申請等をする者又は行政機関等が電子署名を行ったものであることを確認するために用いられる事項がこれらの者に係るものであることを証明するために作成する電磁的記録をいう。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当該行政機関等の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当該申請等が行われるべき行政機関等の定めるところにより、当該行政機関等の指定する電子計算機に備えられたファイルに記録すべき事項又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br/>
        <w:t>ただし、当該申請等が行われるべき行政機関等の指定する方法により当該申請等を行った者を確認するための措置を講ずる場合は、この限りでない。</w:t>
      </w:r>
    </w:p>
    <w:p>
      <w:pPr>
        <w:pStyle w:val="Heading5"/>
        <w:ind w:left="440"/>
      </w:pPr>
      <w:r>
        <w:t>３</w:t>
      </w:r>
    </w:p>
    <w:p>
      <w:pPr>
        <w:ind w:left="440"/>
      </w:pPr>
      <w:r>
        <w:t>法令（法律及び政令を除く。）の規定により同一内容の書面等を複数必要とする申請等（副本又は写しを正本と併せ必要とするものを含む。）について、当該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とする。</w:t>
      </w:r>
    </w:p>
    <w:p>
      <w:pPr>
        <w:pStyle w:val="Heading4"/>
      </w:pPr>
      <w:r>
        <w:t>第七条（電子情報処理組織による処分通知等）</w:t>
      </w:r>
    </w:p>
    <w:p>
      <w:r>
        <w:t>行政機関等は、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pPr>
        <w:pStyle w:val="Heading4"/>
      </w:pPr>
      <w:r>
        <w:t>第八条（処分通知等を受ける旨の表示の方式）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第六条の電子情報処理組織を使用して行う識別番号及び暗証番号の入力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電子情報処理組織を使用する方法により処分通知等を受けることを希望する旨の行政機関等の定めるところによる届出</w:t>
      </w:r>
    </w:p>
    <w:p>
      <w:pPr>
        <w:pStyle w:val="ListBullet"/>
        <w:ind w:left="880"/>
      </w:pPr>
      <w:r>
        <w:t>三</w:t>
        <w:br/>
        <w:t>前各号に掲げるもののほか、行政機関等の定める方式</w:t>
      </w:r>
    </w:p>
    <w:p>
      <w:pPr>
        <w:pStyle w:val="Heading4"/>
      </w:pPr>
      <w:r>
        <w:t>第九条（処分通知等のうちに電子情報処理組織を使用する方法により行うことが困難又は著しく不適当と認められる部分がある場合）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第十条（電磁的記録による縦覧等）</w:t>
      </w:r>
    </w:p>
    <w:p>
      <w:r>
        <w:t>行政機関等は、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第十一条（電磁的記録による作成等）</w:t>
      </w:r>
    </w:p>
    <w:p>
      <w:r>
        <w:t>行政機関等は、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第十二条（氏名又は名称を明らかにする措置）</w:t>
      </w:r>
    </w:p>
    <w:p>
      <w:r>
        <w:t>法第六条第四項に規定する氏名又は名称を明らかにする措置であって主務省令で定めるものは、電子署名（当該電子署名を行った者を確認するために必要な事項を証する電子証明書が併せて送信されるものに限る。以下この条において同じ。）及び第四条第二項ただし書に規定する措置とする。</w:t>
      </w:r>
    </w:p>
    <w:p>
      <w:pPr>
        <w:pStyle w:val="Heading5"/>
        <w:ind w:left="440"/>
      </w:pPr>
      <w:r>
        <w:t>２</w:t>
      </w:r>
    </w:p>
    <w:p>
      <w:pPr>
        <w:ind w:left="440"/>
      </w:pPr>
      <w:r>
        <w:t>法第七条第四項に規定する氏名又は名称を明らかにする措置であって主務省令で定めるものは、電子署名又は行政機関等が定める方式とする。</w:t>
      </w:r>
    </w:p>
    <w:p>
      <w:pPr>
        <w:pStyle w:val="Heading5"/>
        <w:ind w:left="440"/>
      </w:pPr>
      <w:r>
        <w:t>３</w:t>
      </w:r>
    </w:p>
    <w:p>
      <w:pPr>
        <w:ind w:left="440"/>
      </w:pPr>
      <w:r>
        <w:t>法第九条第三項に規定する氏名又は名称を明らかにする措置であって主務省令で定めるものは、電子署名又は行政機関等が定める方式とする。</w:t>
      </w:r>
    </w:p>
    <w:p>
      <w:pPr>
        <w:pStyle w:val="Heading4"/>
      </w:pPr>
      <w:r>
        <w:t>第十三条（委任）</w:t>
      </w:r>
    </w:p>
    <w:p>
      <w:r>
        <w:t>この内閣官房令に定めるもののほか、内閣人事局の所管する法令に規定する手続等を、電子情報処理組織を使用する方法その他の情報通信技術を利用する方法により行う場合に必要な事項は、行政機関等が定める。</w:t>
      </w:r>
    </w:p>
    <w:p>
      <w:r>
        <w:br w:type="page"/>
      </w:r>
    </w:p>
    <w:p>
      <w:pPr>
        <w:pStyle w:val="Heading1"/>
      </w:pPr>
      <w:r>
        <w:t>附　則</w:t>
      </w:r>
    </w:p>
    <w:p>
      <w:pPr>
        <w:pStyle w:val="Heading5"/>
        <w:ind w:left="440"/>
      </w:pPr>
      <w:r>
        <w:t>１</w:t>
      </w:r>
    </w:p>
    <w:p>
      <w:pPr>
        <w:ind w:left="440"/>
      </w:pPr>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内閣官房内閣人事局の所管する法令に係る情報通信技術を活用した行政の推進等に関する法律の施行に関する内閣官房令</w:t>
      <w:br/>
      <w:tab/>
      <w:t>（令和二年内閣官房令第八号）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内閣官房内閣人事局の所管する法令に係る情報通信技術を活用した行政の推進等に関する法律の施行に関する内閣官房令（令和二年内閣官房令第八号）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