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内閣府、法務省及び財務省の所管する金融関連法令に係る民間事業者等が行う書面の保存等における情報通信の技術の利用に関する命令</w:t>
        <w:br/>
        <w:t>（平成十七年内閣府・法務省・財務省令第二号）</w:t>
      </w:r>
    </w:p>
    <w:p>
      <w:pPr>
        <w:pStyle w:val="Heading4"/>
      </w:pPr>
      <w:r>
        <w:t>第一条（趣旨）</w:t>
      </w:r>
    </w:p>
    <w:p>
      <w:r>
        <w:t>民間事業者等が、内閣府、法務省及び財務省の所管する金融関連法令に係る保存等を、電磁的記録を使用して行う場合については、他の法律及び法律に基づく命令（告示を含む。）に特別の定めのある場合を除くほか、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w:t>
      </w:r>
    </w:p>
    <w:p>
      <w:r>
        <w:t>民間事業者等が、法第三条第一項の規定に基づき、別表第一の上欄に掲げる法令の同表の下欄に掲げる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き、別表第一の上欄に掲げる法令の同表の下欄に掲げる規定に基づく書面の保存に代えて当該書面に係る電磁的記録の保存を行う場合は、必要に応じて、電磁的記録に記録されている事項について、電子計算機の映像面への表示及び書面への出力ができるようにするための措置を講じなければならない。</w:t>
      </w:r>
    </w:p>
    <w:p>
      <w:pPr>
        <w:pStyle w:val="Heading5"/>
        <w:ind w:left="440"/>
      </w:pPr>
      <w:r>
        <w:t>３</w:t>
      </w:r>
    </w:p>
    <w:p>
      <w:pPr>
        <w:ind w:left="440"/>
      </w:pPr>
      <w:r>
        <w:t>民間事業者等が、第一項の規定に基づき、加入者保護信託に関する命令（平成十四年内閣府・法務省・財務省令第四号）第三十四条（第六号に係る部分に限る。）の規定に基づく書面の保存に代えて当該書面に係る電磁的記録の保存を行う場合は、前項の措置に加えて、次に掲げる措置を講じなければならない。</w:t>
      </w:r>
    </w:p>
    <w:p>
      <w:pPr>
        <w:pStyle w:val="ListBullet"/>
        <w:ind w:left="880"/>
      </w:pPr>
      <w:r>
        <w:t>一</w:t>
        <w:br/>
        <w:t>電磁的記録に記録されている事項について消失を防止するための措置</w:t>
      </w:r>
    </w:p>
    <w:p>
      <w:pPr>
        <w:pStyle w:val="ListBullet"/>
        <w:ind w:left="880"/>
      </w:pPr>
      <w:r>
        <w:t>二</w:t>
        <w:br/>
        <w:t>電磁的記録に記録されている事項について訂正又は削除を行った場合には、これらの事実及び内容を確認することができるようにするための措置</w:t>
      </w:r>
    </w:p>
    <w:p>
      <w:pPr>
        <w:pStyle w:val="Heading4"/>
      </w:pPr>
      <w:r>
        <w:t>第五条（法第五条第一項の主務省令で定める縦覧等）</w:t>
      </w:r>
    </w:p>
    <w:p>
      <w:r>
        <w:t>法第五条第一項の主務省令で定める縦覧等は、別表第二の上欄に掲げる法律の同表の下欄に掲げる規定に基づく書面の縦覧等とする。</w:t>
      </w:r>
    </w:p>
    <w:p>
      <w:pPr>
        <w:pStyle w:val="Heading4"/>
      </w:pPr>
      <w:r>
        <w:t>第六条（電磁的記録による縦覧等）</w:t>
      </w:r>
    </w:p>
    <w:p>
      <w:r>
        <w:t>民間事業者等が、法第五条第一項の規定に基づき、別表第二の上欄に掲げる法律の同表の下欄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第七条（法第六条第一項の主務省令で定める交付等）</w:t>
      </w:r>
    </w:p>
    <w:p>
      <w:r>
        <w:t>法第六条第一項の主務省令で定める交付等は、別表第三の上欄に掲げる法律の同表の下欄に掲げる規定に基づく書面の交付等とする。</w:t>
      </w:r>
    </w:p>
    <w:p>
      <w:pPr>
        <w:pStyle w:val="Heading4"/>
      </w:pPr>
      <w:r>
        <w:t>第八条（電磁的記録による交付等）</w:t>
      </w:r>
    </w:p>
    <w:p>
      <w:r>
        <w:t>民間事業者等が、法第六条第一項の規定に基づき、別表第三の上欄に掲げる法律の同表の下欄に掲げる規定に基づく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第九条（電磁的方法による承諾）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この命令は、平成十七年四月一日から施行する。</w:t>
      </w:r>
    </w:p>
    <w:p>
      <w:pPr>
        <w:pStyle w:val="Heading4"/>
      </w:pPr>
      <w:r>
        <w:t>第二条（罰則に関する経過措置）</w:t>
      </w:r>
    </w:p>
    <w:p>
      <w:r>
        <w:t>この命令の施行前にした行為に対する罰則の適用については、なお従前の例による。</w:t>
      </w:r>
    </w:p>
    <w:p>
      <w:r>
        <w:br w:type="page"/>
      </w:r>
    </w:p>
    <w:p>
      <w:pPr>
        <w:pStyle w:val="Heading1"/>
      </w:pPr>
      <w:r>
        <w:t>附則（平成一八年四月二六日内閣府・法務省・財務省令第一号）</w:t>
      </w:r>
    </w:p>
    <w:p>
      <w:pPr>
        <w:pStyle w:val="Heading4"/>
      </w:pPr>
      <w:r>
        <w:t>第一条（施行期日）</w:t>
      </w:r>
    </w:p>
    <w:p>
      <w:r>
        <w:t>この命令は、会社法の施行の日から施行する。</w:t>
      </w:r>
    </w:p>
    <w:p>
      <w:pPr>
        <w:pStyle w:val="Heading4"/>
      </w:pPr>
      <w:r>
        <w:t>第三条（内閣府、法務省及び財務省の所管する金融関連法令に係る民間事業者等が行う書面の保存等における情報通信の技術の利用に関する命令の一部改正に伴う経過措置）</w:t>
      </w:r>
    </w:p>
    <w:p>
      <w:r>
        <w:t>第四条の規定による改正前の内閣府、法務省及び財務省の所管する金融関連法令に係る民間事業者等が行う書面の保存等における情報通信の技術の利用に関する命令の規定に基づく書面の保存等については、なお従前の例による。</w:t>
      </w:r>
    </w:p>
    <w:p>
      <w:r>
        <w:br w:type="page"/>
      </w:r>
    </w:p>
    <w:p>
      <w:pPr>
        <w:pStyle w:val="Heading1"/>
      </w:pPr>
      <w:r>
        <w:t>附則（平成一九年七月一三日内閣府・法務省・財務省令第一号）</w:t>
      </w:r>
    </w:p>
    <w:p>
      <w:r>
        <w:t>この命令は、信託法（平成十八年法律第百八号）の施行の日から施行する。</w:t>
      </w:r>
    </w:p>
    <w:p>
      <w:r>
        <w:br w:type="page"/>
      </w:r>
    </w:p>
    <w:p>
      <w:pPr>
        <w:pStyle w:val="Heading1"/>
      </w:pPr>
      <w:r>
        <w:t>附則（平成二〇年七月四日内閣府・法務省・財務省令第二号）</w:t>
      </w:r>
    </w:p>
    <w:p>
      <w:r>
        <w:t>この命令は、株式等の取引に係る決済の合理化を図るための社債等の振替に関する法律等の一部を改正する法律の施行の日から施行する。</w:t>
      </w:r>
    </w:p>
    <w:p>
      <w:r>
        <w:br w:type="page"/>
      </w:r>
    </w:p>
    <w:p>
      <w:pPr>
        <w:pStyle w:val="Heading1"/>
      </w:pPr>
      <w:r>
        <w:t>附則（令和三年二月三日内閣府・法務省・財務省令第一号）</w:t>
      </w:r>
    </w:p>
    <w:p>
      <w:r>
        <w:t>この命令は、会社法の一部を改正する法律の施行の日（令和三年三月一日）から施行する。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内閣府、法務省及び財務省の所管する金融関連法令に係る民間事業者等が行う書面の保存等における情報通信の技術の利用に関する命令</w:t>
      <w:br/>
      <w:tab/>
      <w:t>（平成十七年内閣府・法務省・財務省令第二号）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内閣府、法務省及び財務省の所管する金融関連法令に係る民間事業者等が行う書面の保存等における情報通信の技術の利用に関する命令（平成十七年内閣府・法務省・財務省令第二号）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