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内閣府の所管する消費者庁関係法令に係る民間事業者等が行う書面の保存等における情報通信の技術の利用に関する法律施行規則</w:t>
        <w:br/>
        <w:t>（平成二十一年内閣府令第五十九号）</w:t>
      </w:r>
    </w:p>
    <w:p>
      <w:pPr>
        <w:pStyle w:val="Heading4"/>
      </w:pPr>
      <w:r>
        <w:t>第一条（趣旨）</w:t>
      </w:r>
    </w:p>
    <w:p>
      <w:r>
        <w:t>民間事業者等が、内閣府の所管する消費者庁関係法令に係る保存等を、電磁的記録を使用して行う場合については、他の法律及び法律に基づく命令（告示を含む。）、条例、地方公共団体の規則並びに地方公共団体の機関の定める規則に特別の定めのある場合を除くほか、この府令の定めるところによる。</w:t>
      </w:r>
    </w:p>
    <w:p>
      <w:pPr>
        <w:pStyle w:val="Heading4"/>
      </w:pPr>
      <w:r>
        <w:t>第二条（定義）</w:t>
      </w:r>
    </w:p>
    <w:p>
      <w:r>
        <w:t>この府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することができなければならない。</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下欄に掲げる規定に基づく書面の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この府令は、公布の日から施行する。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　則（平成二七年一一月一一日内閣府令第六四号）</w:t>
      </w:r>
    </w:p>
    <w:p>
      <w:r>
        <w:t>この府令は、平成二十八年十月一日から施行する。</w:t>
      </w:r>
    </w:p>
    <w:p>
      <w:r>
        <w:br w:type="page"/>
      </w:r>
    </w:p>
    <w:p>
      <w:pPr>
        <w:pStyle w:val="Heading1"/>
      </w:pPr>
      <w:r>
        <w:t>附　則（平成三一年二月二二日内閣府令第四号）</w:t>
      </w:r>
    </w:p>
    <w:p>
      <w:r>
        <w:t>この府令は、令和二年四月一日から施行する。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内閣府の所管する消費者庁関係法令に係る民間事業者等が行う書面の保存等における情報通信の技術の利用に関する法律施行規則</w:t>
      <w:br/>
      <w:tab/>
      <w:t>（平成二十一年内閣府令第五十九号）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内閣府の所管する消費者庁関係法令に係る民間事業者等が行う書面の保存等における情報通信の技術の利用に関する法律施行規則（平成二十一年内閣府令第五十九号）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