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内閣府及び財務省の所管する金融関連法令に係る民間事業者等が行う書面の保存等における情報通信の技術の利用に関する命令</w:t>
        <w:br/>
        <w:t>（平成十七年内閣府・財務省令第二号）</w:t>
      </w:r>
    </w:p>
    <w:p>
      <w:pPr>
        <w:pStyle w:val="Heading4"/>
      </w:pPr>
      <w:r>
        <w:t>第一条（趣旨）</w:t>
      </w:r>
    </w:p>
    <w:p>
      <w:r>
        <w:t>民間事業者等が、内閣府及び財務省の所管する金融関連法令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法第三条第一項の主務省令で定める保存は、別表第一の上欄に掲げる法律の同表の下欄に掲げる規定に基づく書面の保存とする。</w:t>
      </w:r>
    </w:p>
    <w:p>
      <w:pPr>
        <w:pStyle w:val="Heading4"/>
      </w:pPr>
      <w:r>
        <w:t>第四条（電磁的記録による保存）</w:t>
      </w:r>
    </w:p>
    <w:p>
      <w:r>
        <w:t>民間事業者等が、法第三条第一項の規定に基づき、別表第一の上欄に掲げる法律の同表の下欄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別表第一の上欄に掲げる法令の同表の下欄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別表第一の上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について、他の事務所等に備え付けた電子計算機の映像面への表示及び書面への出力ができるようにするための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w:t>
      </w:r>
    </w:p>
    <w:p>
      <w:r>
        <w:t>民間事業者等が、法第四条第一項の規定に基づき、別表第二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法第五条第一項の主務省令で定める縦覧等は、別表第三の上欄に掲げる法律の同表の下欄に掲げる規定に基づく書面の縦覧等とする。</w:t>
      </w:r>
    </w:p>
    <w:p>
      <w:pPr>
        <w:pStyle w:val="Heading4"/>
      </w:pPr>
      <w:r>
        <w:t>第九条（電磁的記録による縦覧等）</w:t>
      </w:r>
    </w:p>
    <w:p>
      <w:r>
        <w:t>民間事業者等が、法第五条第一項の規定に基づき、別表第三の上欄に掲げる法律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法第六条第一項の主務省令で定める交付等は、別表第四の上欄に掲げる法律の同表の下欄に掲げる規定に基づく書面の交付等とする。</w:t>
      </w:r>
    </w:p>
    <w:p>
      <w:pPr>
        <w:pStyle w:val="Heading4"/>
      </w:pPr>
      <w:r>
        <w:t>第十一条（電磁的記録による交付等）</w:t>
      </w:r>
    </w:p>
    <w:p>
      <w:r>
        <w:t>民間事業者等が、法第六条第一項の規定に基づき、別表第四の上欄に掲げる法律の同表の下欄に掲げる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p>
      <w:pPr>
        <w:pStyle w:val="Heading4"/>
      </w:pPr>
      <w:r>
        <w:t>第二条（内閣府及び財務省の所管する金融関連法令に係る民間事業者等が行う書面の保存等における情報通信の技術の利用に関する命令の一部改正に伴う経過措置）</w:t>
      </w:r>
    </w:p>
    <w:p>
      <w:r>
        <w:t>第十一条の規定による改正前の内閣府及び財務省の所管する金融関連法令に係る民間事業者等が行う書面の保存等における情報通信の技術の利用に関する命令の規定に基づく書面の保存等については、なお従前の例による。</w:t>
      </w:r>
    </w:p>
    <w:p>
      <w:r>
        <w:br w:type="page"/>
      </w:r>
    </w:p>
    <w:p>
      <w:pPr>
        <w:pStyle w:val="Heading1"/>
      </w:pPr>
      <w:r>
        <w:t>附則（平成一九年八月九日内閣府・財務省令第五号）</w:t>
      </w:r>
    </w:p>
    <w:p>
      <w:r>
        <w:t>この命令は、証券取引法等の一部を改正する法律の施行の日から施行する。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内閣府及び財務省の所管する金融関連法令に係る民間事業者等が行う書面の保存等における情報通信の技術の利用に関する命令</w:t>
      <w:br/>
      <w:tab/>
      <w:t>（平成十七年内閣府・財務省令第二号）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内閣府及び財務省の所管する金融関連法令に係る民間事業者等が行う書面の保存等における情報通信の技術の利用に関する命令（平成十七年内閣府・財務省令第二号）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