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内閣総理大臣の所管に属する公益信託の引受けの許可及び監督に関する内閣府令に係る民間事業者等が行う書面の保存等における情報通信の技術の利用に関する法律施行規則</w:t>
        <w:br/>
        <w:t>（平成十七年内閣府令第三十号）</w:t>
      </w:r>
    </w:p>
    <w:p>
      <w:pPr>
        <w:pStyle w:val="Heading4"/>
      </w:pPr>
      <w:r>
        <w:t>第一条（趣旨）</w:t>
      </w:r>
    </w:p>
    <w:p>
      <w:r>
        <w:t>民間事業者等が、内閣総理大臣の所管に属する公益信託の引受けの許可及び監督に関する内閣府令（昭和五十五年総理府令第四十二号）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法第三条第一項の主務省令で定める保存は、内閣総理大臣の所管に属する公益信託の引受けの許可及び監督に関する内閣府令第二十六条の規定に基づく書面の保存とする。</w:t>
      </w:r>
    </w:p>
    <w:p>
      <w:pPr>
        <w:pStyle w:val="Heading4"/>
      </w:pPr>
      <w:r>
        <w:t>第四条（電磁的記録による保存）</w:t>
      </w:r>
    </w:p>
    <w:p>
      <w:r>
        <w:t>民間事業者等が、法第三条第一項の規定に基づき、内閣総理大臣の所管に属する公益信託の引受けの許可及び監督に関する内閣府令第二十六条の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することができなければならない。</w:t>
      </w:r>
    </w:p>
    <w:p>
      <w:pPr>
        <w:pStyle w:val="Heading4"/>
      </w:pPr>
      <w:r>
        <w:t>第五条（法第四条第一項の主務省令で定める作成）</w:t>
      </w:r>
    </w:p>
    <w:p>
      <w:r>
        <w:t>法第四条第一項の主務省令で定める作成は、内閣総理大臣の所管に属する公益信託の引受けの許可及び監督に関する内閣府令第二十六条の規定に基づく書面の作成とする。</w:t>
      </w:r>
    </w:p>
    <w:p>
      <w:pPr>
        <w:pStyle w:val="Heading4"/>
      </w:pPr>
      <w:r>
        <w:t>第六条（電磁的記録による作成）</w:t>
      </w:r>
    </w:p>
    <w:p>
      <w:r>
        <w:t>民間事業者等が、法第四条第一項の規定に基づき、内閣総理大臣の所管に属する公益信託の引受けの許可及び監督に関する内閣府令第二十六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この規則は、平成十七年四月一日から施行する。</w:t>
      </w:r>
    </w:p>
    <w:p>
      <w:r>
        <w:br w:type="page"/>
      </w:r>
    </w:p>
    <w:p>
      <w:pPr>
        <w:pStyle w:val="Heading1"/>
      </w:pPr>
      <w:r>
        <w:t>附　則（平成一九年九月二〇日内閣府令第七〇号）</w:t>
      </w:r>
    </w:p>
    <w:p>
      <w:pPr>
        <w:pStyle w:val="Heading4"/>
      </w:pPr>
      <w:r>
        <w:t>第一条（施行期日）</w:t>
      </w:r>
    </w:p>
    <w:p>
      <w:r>
        <w:t>この府令は、信託法の施行の日（平成十九年九月三十日）から施行する。</w:t>
      </w:r>
    </w:p>
    <w:p>
      <w:r>
        <w:br w:type="page"/>
      </w:r>
    </w:p>
    <w:p>
      <w:pPr>
        <w:pStyle w:val="Heading1"/>
      </w:pPr>
      <w:r>
        <w:t>附　則（平成二〇年一一月二八日内閣府令第七三号）</w:t>
      </w:r>
    </w:p>
    <w:p>
      <w:pPr>
        <w:pStyle w:val="Heading4"/>
      </w:pPr>
      <w:r>
        <w:t>第一条（施行期日）</w:t>
      </w:r>
    </w:p>
    <w:p>
      <w:r>
        <w:t>この府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等の一部改正に伴う経過措置）</w:t>
      </w:r>
    </w:p>
    <w:p>
      <w:r>
        <w:t>前二条の規定による改正前の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の規定及び内閣総理大臣の所管に属する公益法人の設立及び監督に関する規則及び内閣総理大臣の所管に属する公益信託の引受けの許可及び監督に関する内閣府令に係る民間事業者等が行う書面の保存等における情報通信の技術の利用に関する法律施行規則の規定は、整備法第九十五条の規定によりなお従前の例により特例民法法人（整備法第四十二条第二項に規定する特例民法法人をいう。）の業務の監督が行われる間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内閣総理大臣の所管に属する公益信託の引受けの許可及び監督に関する内閣府令に係る民間事業者等が行う書面の保存等における情報通信の技術の利用に関する法律施行規則</w:t>
      <w:br/>
      <w:tab/>
      <w:t>（平成十七年内閣府令第三十号）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内閣総理大臣の所管に属する公益信託の引受けの許可及び監督に関する内閣府令に係る民間事業者等が行う書面の保存等における情報通信の技術の利用に関する法律施行規則（平成十七年内閣府令第三十号）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