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再処理施設に係る再処理事業者の設計及び工事に係る品質管理の方法及びその検査のための組織の技術基準に関する規則</w:t>
        <w:br/>
        <w:t>（平成二十五年原子力規制委員会規則第二十八号）</w:t>
      </w:r>
    </w:p>
    <w:p>
      <w:pPr>
        <w:pStyle w:val="Heading2"/>
      </w:pPr>
      <w:r>
        <w:t>第一章　総則</w:t>
      </w:r>
    </w:p>
    <w:p>
      <w:pPr>
        <w:pStyle w:val="Heading4"/>
      </w:pPr>
      <w:r>
        <w:t>第一条（適用範囲）</w:t>
      </w:r>
    </w:p>
    <w:p>
      <w:r>
        <w:t>この規則は、再処理施設について適用する。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再処理事業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「妥当性確認」とは、再処理施設並びに手順、プロセスその他の個別業務及び品質管理の方法が期待される結果を与えることを検証することをいう。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再処理事業者は、この規則の規定に従って、品質管理監督システムを確立し、実施するとともに、その実効性を維持しなければならない。</w:t>
      </w:r>
    </w:p>
    <w:p>
      <w:pPr>
        <w:pStyle w:val="Heading5"/>
        <w:ind w:left="440"/>
      </w:pPr>
      <w:r>
        <w:t>２</w:t>
      </w:r>
    </w:p>
    <w:p>
      <w:pPr>
        <w:ind w:left="440"/>
      </w:pPr>
      <w:r>
        <w:t>再処理事業者は、次に掲げる業務を行わなければならない。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再処理事業者は、この規則の規定に従って、プロセスを管理しなければならない。</w:t>
      </w:r>
    </w:p>
    <w:p>
      <w:pPr>
        <w:pStyle w:val="Heading5"/>
        <w:ind w:left="440"/>
      </w:pPr>
      <w:r>
        <w:t>４</w:t>
      </w:r>
    </w:p>
    <w:p>
      <w:pPr>
        <w:ind w:left="440"/>
      </w:pPr>
      <w:r>
        <w:t>再処理事業者は、個別業務又は再処理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再処理事業者は、前項の管理を、品質管理監督システムの中で識別することができるように規定しなければならない。</w:t>
      </w:r>
    </w:p>
    <w:p>
      <w:pPr>
        <w:pStyle w:val="Heading5"/>
        <w:ind w:left="440"/>
      </w:pPr>
      <w:r>
        <w:t>６</w:t>
      </w:r>
    </w:p>
    <w:p>
      <w:pPr>
        <w:ind w:left="440"/>
      </w:pPr>
      <w:r>
        <w:t>再処理事業者は、保安のための重要度に応じて、品質管理監督システムに係る要求事項を適切に定めなければならない。</w:t>
      </w:r>
    </w:p>
    <w:p>
      <w:pPr>
        <w:pStyle w:val="Heading5"/>
        <w:ind w:left="440"/>
      </w:pPr>
      <w:r>
        <w:t>７</w:t>
      </w:r>
    </w:p>
    <w:p>
      <w:pPr>
        <w:ind w:left="440"/>
      </w:pPr>
      <w:r>
        <w:t>再処理事業者は、保安のための重要度に応じて、資源の適切な配分を行わなければならない。</w:t>
      </w:r>
    </w:p>
    <w:p>
      <w:pPr>
        <w:pStyle w:val="Heading4"/>
      </w:pPr>
      <w:r>
        <w:t>第四条（品質管理監督システムの文書化）</w:t>
      </w:r>
    </w:p>
    <w:p>
      <w:r>
        <w:t>再処理事業者は、前条第一項の規定により品質管理監督システムを確立するときは、次に掲げる文書を作成し、当該文書に規定する事項を実施しなければならない。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再処理事業者は、品質管理監督システム基準書に、次に掲げる事項を記載しなければならない。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再処理事業者は、この規則に規定する文書その他品質管理監督システムに必要な文書（記録を除く。以下「品質管理監督文書」という。）を管理しなければならない。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再処理事業者は、次に掲げる業務に必要な管理を定めた手順書を作成しなければならない。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再処理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再処理事業者は、前項の記録の識別、保存、保護、検索、保存期間及び廃棄に関し所要の管理を定めた手順書を作成しなければならない。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経営責任者は、個別業務等要求事項が明確にされ、かつ、個別業務及び再処理施設が当該要求事項に適合しているようにしなければならない。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品質保証の実施に係る再処理事業者の意図に照らし適切なものであること。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再処理事業者は、経営責任者照査の結果の記録を作成し、これを管理しなければならない。</w:t>
      </w:r>
    </w:p>
    <w:p>
      <w:pPr>
        <w:pStyle w:val="Heading4"/>
      </w:pPr>
      <w:r>
        <w:t>第十八条（経営責任者照査に係るプロセス入力情報）</w:t>
      </w:r>
    </w:p>
    <w:p>
      <w:r>
        <w:t>再処理事業者は、次に掲げるプロセス入力情報によって経営責任者照査を行わなければならない。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再処理施設の外部の者からの意見</w:t>
      </w:r>
    </w:p>
    <w:p>
      <w:pPr>
        <w:pStyle w:val="Heading6"/>
        <w:ind w:left="880"/>
      </w:pPr>
      <w:r>
        <w:t>三</w:t>
      </w:r>
    </w:p>
    <w:p>
      <w:pPr>
        <w:ind w:left="880"/>
      </w:pPr>
      <w:r>
        <w:t>プロセスの実施状況</w:t>
      </w:r>
    </w:p>
    <w:p>
      <w:pPr>
        <w:pStyle w:val="Heading6"/>
        <w:ind w:left="880"/>
      </w:pPr>
      <w:r>
        <w:t>四</w:t>
      </w:r>
    </w:p>
    <w:p>
      <w:pPr>
        <w:ind w:left="880"/>
      </w:pPr>
      <w:r>
        <w:t>再処理施設の検査の結果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再処理事業者は、経営責任者照査から次に掲げる事項に係る情報を得て、所要の措置を講じなければならない。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再処理事業者は、保安のために必要な資源を明確にし、確保しなければならない。</w:t>
      </w:r>
    </w:p>
    <w:p>
      <w:pPr>
        <w:pStyle w:val="Heading4"/>
      </w:pPr>
      <w:r>
        <w:t>第二十一条（職員）</w:t>
      </w:r>
    </w:p>
    <w:p>
      <w:r>
        <w:t>再処理事業者は、職員に、次に掲げる要件を満たしていることをもってその能力が実証された者を充てなければならない。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再処理事業者は、次に掲げる業務を行わなければならない。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再処理事業者は、保安のために必要な業務運営基盤（個別業務に必要な施設、設備及びサービスの体系をいう。）を明確にして、これを維持しなければならない。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再処理事業者は、保安のために必要な作業環境を明確にして、これを管理監督しなければならない。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再処理事業者は、個別業務に必要なプロセスについて、計画を策定するとともに、確立しなければならない。</w:t>
      </w:r>
    </w:p>
    <w:p>
      <w:pPr>
        <w:pStyle w:val="Heading5"/>
        <w:ind w:left="440"/>
      </w:pPr>
      <w:r>
        <w:t>２</w:t>
      </w:r>
    </w:p>
    <w:p>
      <w:pPr>
        <w:ind w:left="440"/>
      </w:pPr>
      <w:r>
        <w:t>再処理事業者は、前項の規定により策定された計画（以下「個別業務計画」という。）と、個別業務に係るプロセス以外のプロセスに係る要求事項との整合性を確保しなければならない。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再処理事業者は、個別業務計画の策定を行うに当たっては、次に掲げる事項を適切に明確化しなければならない。</w:t>
      </w:r>
    </w:p>
    <w:p>
      <w:pPr>
        <w:pStyle w:val="Heading6"/>
        <w:ind w:left="880"/>
      </w:pPr>
      <w:r>
        <w:t>一</w:t>
      </w:r>
    </w:p>
    <w:p>
      <w:pPr>
        <w:ind w:left="880"/>
      </w:pPr>
      <w:r>
        <w:t>個別業務又は再処理施設に係る品質目標及び個別業務等要求事項</w:t>
      </w:r>
    </w:p>
    <w:p>
      <w:pPr>
        <w:pStyle w:val="Heading6"/>
        <w:ind w:left="880"/>
      </w:pPr>
      <w:r>
        <w:t>二</w:t>
      </w:r>
    </w:p>
    <w:p>
      <w:pPr>
        <w:ind w:left="880"/>
      </w:pPr>
      <w:r>
        <w:t>所要のプロセス、品質管理監督文書及び資源であって、個別業務又は再処理施設に固有のもの</w:t>
      </w:r>
    </w:p>
    <w:p>
      <w:pPr>
        <w:pStyle w:val="Heading6"/>
        <w:ind w:left="880"/>
      </w:pPr>
      <w:r>
        <w:t>三</w:t>
      </w:r>
    </w:p>
    <w:p>
      <w:pPr>
        <w:ind w:left="880"/>
      </w:pPr>
      <w:r>
        <w:t>所要の検証、妥当性確認、監視測定並びに検査及び試験（以下「検査試験」という。）であって、当該個別業務又は再処理施設に固有のもの及び個別業務又は再処理施設の適否を決定するための基準（以下「適否決定基準」という。）</w:t>
      </w:r>
    </w:p>
    <w:p>
      <w:pPr>
        <w:pStyle w:val="Heading6"/>
        <w:ind w:left="880"/>
      </w:pPr>
      <w:r>
        <w:t>四</w:t>
      </w:r>
    </w:p>
    <w:p>
      <w:pPr>
        <w:ind w:left="880"/>
      </w:pPr>
      <w:r>
        <w:t>個別業務又は再処理施設に係るプロセス及びその結果が個別業務等要求事項に適合していることを実証するために必要な記録</w:t>
      </w:r>
    </w:p>
    <w:p>
      <w:pPr>
        <w:pStyle w:val="Heading5"/>
        <w:ind w:left="440"/>
      </w:pPr>
      <w:r>
        <w:t>４</w:t>
      </w:r>
    </w:p>
    <w:p>
      <w:pPr>
        <w:ind w:left="440"/>
      </w:pPr>
      <w:r>
        <w:t>再処理事業者は、個別業務計画の策定に係るプロセス出力情報を、作業方法に見合う形式によるものとしなければならない。</w:t>
      </w:r>
    </w:p>
    <w:p>
      <w:pPr>
        <w:pStyle w:val="Heading4"/>
      </w:pPr>
      <w:r>
        <w:t>第二十六条（個別業務等要求事項の明確化）</w:t>
      </w:r>
    </w:p>
    <w:p>
      <w:r>
        <w:t>再処理事業者は、次に掲げる事項を個別業務等要求事項として明確にしなければならない。</w:t>
      </w:r>
    </w:p>
    <w:p>
      <w:pPr>
        <w:pStyle w:val="Heading6"/>
        <w:ind w:left="880"/>
      </w:pPr>
      <w:r>
        <w:t>一</w:t>
      </w:r>
    </w:p>
    <w:p>
      <w:pPr>
        <w:ind w:left="880"/>
      </w:pPr>
      <w:r>
        <w:t>再処理施設の外部の者が明示してはいないものの、個別業務又は再処理施設に必要な要求事項であって既知のもの</w:t>
      </w:r>
    </w:p>
    <w:p>
      <w:pPr>
        <w:pStyle w:val="Heading6"/>
        <w:ind w:left="880"/>
      </w:pPr>
      <w:r>
        <w:t>二</w:t>
      </w:r>
    </w:p>
    <w:p>
      <w:pPr>
        <w:ind w:left="880"/>
      </w:pPr>
      <w:r>
        <w:t>関係法令のうち、当該個別業務又は再処理施設に関するもの</w:t>
      </w:r>
    </w:p>
    <w:p>
      <w:pPr>
        <w:pStyle w:val="Heading6"/>
        <w:ind w:left="880"/>
      </w:pPr>
      <w:r>
        <w:t>三</w:t>
      </w:r>
    </w:p>
    <w:p>
      <w:pPr>
        <w:ind w:left="880"/>
      </w:pPr>
      <w:r>
        <w:t>その他再処理事業者が明確にした要求事項</w:t>
      </w:r>
    </w:p>
    <w:p>
      <w:pPr>
        <w:pStyle w:val="Heading4"/>
      </w:pPr>
      <w:r>
        <w:t>第二十七条（個別業務等要求事項の照査）</w:t>
      </w:r>
    </w:p>
    <w:p>
      <w:r>
        <w:t>再処理事業者は、個別業務の実施又は再処理施設の使用に当たって、あらかじめ、個別業務等要求事項の照査を実施しなければならない。</w:t>
      </w:r>
    </w:p>
    <w:p>
      <w:pPr>
        <w:pStyle w:val="Heading5"/>
        <w:ind w:left="440"/>
      </w:pPr>
      <w:r>
        <w:t>２</w:t>
      </w:r>
    </w:p>
    <w:p>
      <w:pPr>
        <w:ind w:left="440"/>
      </w:pPr>
      <w:r>
        <w:t>再処理事業者は、前項の照査を実施するに当たっては、次に掲げる事項を確認しなければならない。</w:t>
      </w:r>
    </w:p>
    <w:p>
      <w:pPr>
        <w:pStyle w:val="Heading6"/>
        <w:ind w:left="880"/>
      </w:pPr>
      <w:r>
        <w:t>一</w:t>
      </w:r>
    </w:p>
    <w:p>
      <w:pPr>
        <w:ind w:left="880"/>
      </w:pPr>
      <w:r>
        <w:t>当該個別業務又は再処理施設に係る個別業務等要求事項が定められていること。</w:t>
      </w:r>
    </w:p>
    <w:p>
      <w:pPr>
        <w:pStyle w:val="Heading6"/>
        <w:ind w:left="880"/>
      </w:pPr>
      <w:r>
        <w:t>二</w:t>
      </w:r>
    </w:p>
    <w:p>
      <w:pPr>
        <w:ind w:left="880"/>
      </w:pPr>
      <w:r>
        <w:t>当該個別業務又は再処理施設に係る個別業務等要求事項が、あらかじめ定められた個別業務等要求事項と相違する場合においては、当該相違点が解明されていること。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再処理事業者が、あらかじめ定められた要求事項に適合する能力を有していること。</w:t>
      </w:r>
    </w:p>
    <w:p>
      <w:pPr>
        <w:pStyle w:val="Heading5"/>
        <w:ind w:left="440"/>
      </w:pPr>
      <w:r>
        <w:t>３</w:t>
      </w:r>
    </w:p>
    <w:p>
      <w:pPr>
        <w:ind w:left="440"/>
      </w:pPr>
      <w:r>
        <w:t>再処理事業者は、第一項の照査の結果に係る記録及び当該照査の結果に基づき講じた措置に係る記録を作成し、これを管理しなければならない。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再処理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第二十八条（再処理施設の外部の者との情報の伝達）</w:t>
      </w:r>
    </w:p>
    <w:p>
      <w:r>
        <w:t>再処理事業者は、再処理施設の外部の者との情報の伝達のために実効性のある方法を明らかにして、これを実施しなければならない。</w:t>
      </w:r>
    </w:p>
    <w:p>
      <w:pPr>
        <w:pStyle w:val="Heading4"/>
      </w:pPr>
      <w:r>
        <w:t>第二十九条（設計開発計画）</w:t>
      </w:r>
    </w:p>
    <w:p>
      <w:r>
        <w:t>再処理事業者は、設計開発（再処理施設に必要な要求事項を考慮し、再処理施設の仕様を定めることをいう。以下同じ。）の計画（以下「設計開発計画」という。）を策定するとともに、設計開発を管理しなければならない。</w:t>
      </w:r>
    </w:p>
    <w:p>
      <w:pPr>
        <w:pStyle w:val="Heading5"/>
        <w:ind w:left="440"/>
      </w:pPr>
      <w:r>
        <w:t>２</w:t>
      </w:r>
    </w:p>
    <w:p>
      <w:pPr>
        <w:ind w:left="440"/>
      </w:pPr>
      <w:r>
        <w:t>再処理事業者は、設計開発計画の策定において、次に掲げる事項を明確にしなければならない。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再処理事業者は、実効性のある情報の伝達並びに責任及び権限の明確な割当てがなされるようにするために、設計開発に関与する各者間の連絡を管理監督しなければならない。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再処理事業者は、第一項の規定により策定された設計開発計画を、設計開発の進行に応じ適切に更新しなければならない。</w:t>
      </w:r>
    </w:p>
    <w:p>
      <w:pPr>
        <w:pStyle w:val="Heading4"/>
      </w:pPr>
      <w:r>
        <w:t>第三十条（設計開発に係るプロセス入力情報）</w:t>
      </w:r>
    </w:p>
    <w:p>
      <w:r>
        <w:t>再処理事業者は、再処理施設に係る要求事項に関連した次に掲げる設計開発に係るプロセス入力情報を明確にするとともに、当該情報に係る記録を作成し、これを管理しなければならない。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意図した使用方法に応じた機能又は性能に係る再処理施設に係る要求事項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再処理事業者は、設計開発に係るプロセス入力情報について、その妥当性を照査し、承認しなければならない。</w:t>
      </w:r>
    </w:p>
    <w:p>
      <w:pPr>
        <w:pStyle w:val="Heading4"/>
      </w:pPr>
      <w:r>
        <w:t>第三十一条（設計開発に係るプロセス出力情報）</w:t>
      </w:r>
    </w:p>
    <w:p>
      <w:r>
        <w:t>再処理事業者は、設計開発に係るプロセス出力情報を、設計開発に係るプロセス入力情報と対比した検証を可能とする形式により保有しなければならない。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再処理事業者は、設計開発からプロセスの次の段階に進むことを承認するに当たり、あらかじめ、当該設計開発に係るプロセス出力情報を承認しなければならない。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再処理事業者は、設計開発に係るプロセス出力情報を、次に掲げる条件に適合するものとしなければならない。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調達、個別業務の実施及び再処理施設の使用のために適切な情報を提供するものであること。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再処理施設の安全かつ適正な使用方法に不可欠な当該再処理施設の特性を規定しているものであること。</w:t>
      </w:r>
    </w:p>
    <w:p>
      <w:pPr>
        <w:pStyle w:val="Heading4"/>
      </w:pPr>
      <w:r>
        <w:t>第三十二条（設計開発照査）</w:t>
      </w:r>
    </w:p>
    <w:p>
      <w:r>
        <w:t>再処理事業者は、設計開発について、その適切な段階において、設計開発計画に従って、次に掲げる事項を目的とした体系的な照査（以下「設計開発照査」という。）を実施しなければならない。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再処理事業者は、設計開発照査に、当該照査の対象となっている設計開発段階に関連する部門の代表者及び当該設計開発に係る専門家を参加させなければならない。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再処理事業者は、設計開発照査の結果の記録及び当該結果に基づき所要の措置を講じた場合においては、その記録を作成し、これを管理しなければならない。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再処理事業者は、設計開発に係るプロセス出力情報が当該設計開発に係るプロセス入力情報たる要求事項に適合している状態を確保するために、設計開発計画に従って検証を実施しなければならない。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再処理事業者は、前項の検証の結果の記録（当該検証結果に基づき所要の措置を講じた場合においては、その記録を含む。）を作成し、これを管理しなければならない。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再処理事業者は、当該設計開発に係る部門又は職員に第一項の検証をさせてはならない。</w:t>
      </w:r>
    </w:p>
    <w:p>
      <w:pPr>
        <w:pStyle w:val="Heading4"/>
      </w:pPr>
      <w:r>
        <w:t>第三十四条（設計開発の妥当性確認）</w:t>
      </w:r>
    </w:p>
    <w:p>
      <w:r>
        <w:t>再処理事業者は、再処理施設を、規定された性能、使用目的又は意図した使用方法に係る要求事項に適合するものとするために、当該再処理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再処理事業者は、再処理施設を使用するに当たり、あらかじめ、設計開発妥当性確認を完了しなければならない。</w:t>
      </w:r>
    </w:p>
    <w:p>
      <w:pPr>
        <w:pStyle w:val="Heading5"/>
        <w:ind w:left="440"/>
      </w:pPr>
      <w:r>
        <w:t>３</w:t>
      </w:r>
    </w:p>
    <w:p>
      <w:pPr>
        <w:ind w:left="440"/>
      </w:pPr>
      <w:r>
        <w:t>再処理事業者は、設計開発妥当性確認の結果の記録及び当該妥当性確認の結果に基づき所要の措置を講じた場合においては、その記録を作成し、これを管理しなければならない。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再処理事業者は、設計開発の変更を行った場合においては、当該変更の内容を識別できるようにするとともに、当該変更に係る記録を作成し、これを管理しなければならない。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再処理事業者は、設計開発の変更を実施するに当たり、あらかじめ、照査、検証及び妥当性確認を適切に行い、承認しなければならない。</w:t>
      </w:r>
    </w:p>
    <w:p>
      <w:pPr>
        <w:pStyle w:val="Heading5"/>
        <w:ind w:left="440"/>
      </w:pPr>
      <w:r>
        <w:t>３</w:t>
      </w:r>
    </w:p>
    <w:p>
      <w:pPr>
        <w:ind w:left="440"/>
      </w:pPr>
      <w:r>
        <w:t>再処理事業者は、設計開発の変更の照査の範囲を、当該変更が再処理施設に及ぼす影響の評価（当該再処理施設を構成する材料又は部品に及ぼす影響の評価を含む。）を含むものとしなければならない。</w:t>
      </w:r>
    </w:p>
    <w:p>
      <w:pPr>
        <w:pStyle w:val="Heading5"/>
        <w:ind w:left="440"/>
      </w:pPr>
      <w:r>
        <w:t>４</w:t>
      </w:r>
    </w:p>
    <w:p>
      <w:pPr>
        <w:ind w:left="440"/>
      </w:pPr>
      <w:r>
        <w:t>再処理事業者は、第二項の規定による変更の照査の結果に係る記録（当該照査結果に基づき所要の措置を講じた場合においては、その記録を含む。）を作成し、これを管理しなければならない。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再処理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再処理事業者は、調達物品等の供給者及び調達物品等に適用される管理の方法及び程度を、当該調達物品等が個別業務又は再処理施設に及ぼす影響に応じて定めなければならない。</w:t>
      </w:r>
    </w:p>
    <w:p>
      <w:pPr>
        <w:pStyle w:val="Heading5"/>
        <w:ind w:left="440"/>
      </w:pPr>
      <w:r>
        <w:t>３</w:t>
      </w:r>
    </w:p>
    <w:p>
      <w:pPr>
        <w:ind w:left="440"/>
      </w:pPr>
      <w:r>
        <w:t>再処理事業者は、調達物品等要求事項に従って、調達物品等を供給する能力を根拠として調達物品等の供給者を評価し、選定しなければならない。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再処理事業者は、調達物品等の供給者の選定、評価及び再評価に係る判定基準を定めなければならない。</w:t>
      </w:r>
    </w:p>
    <w:p>
      <w:pPr>
        <w:pStyle w:val="Heading5"/>
        <w:ind w:left="440"/>
      </w:pPr>
      <w:r>
        <w:t>５</w:t>
      </w:r>
    </w:p>
    <w:p>
      <w:pPr>
        <w:ind w:left="440"/>
      </w:pPr>
      <w:r>
        <w:t>再処理事業者は、第三項の評価の結果に係る記録（当該評価結果に基づき所要の措置を講じた場合においては、その記録を含む。）を作成し、これを管理しなければならない。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再処理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再処理事業者と共有するために必要な措置に関する事項を含む。）及びこれが確実に守られるよう管理する方法を定めなければならない。</w:t>
      </w:r>
    </w:p>
    <w:p>
      <w:pPr>
        <w:pStyle w:val="Heading4"/>
      </w:pPr>
      <w:r>
        <w:t>第三十七条（調達物品等要求事項）</w:t>
      </w:r>
    </w:p>
    <w:p>
      <w:r>
        <w:t>再処理事業者は、調達物品等に関する情報に、次に掲げる調達物品等要求事項のうち該当するものを含めなければならない。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再処理事業者は、調達物品等の供給者に対し調達物品等に関する情報を提供するに当たり、あらかじめ、当該調達物品等要求事項の妥当性を確認しなければならない。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再処理事業者は、調達物品等を受領する場合には、調達物品等の供給者に対し、調達物品等要求事項への適合状況を記録した文書を提出させなければならない。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再処理事業者は、調達物品等が調達物品等要求事項に適合しているようにするために必要な検査試験その他の個別業務を定め、実施しなければならない。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再処理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再処理事業者は、個別業務を、次に掲げる管理条件（個別業務の内容等から該当しないと認められる管理条件を除く。）の下で実施しなければならない。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再処理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再処理事業者は、前項のプロセスが個別業務計画に定めた結果を得ることができることを、妥当性確認によって実証しなければならない。</w:t>
      </w:r>
    </w:p>
    <w:p>
      <w:pPr>
        <w:pStyle w:val="Heading5"/>
        <w:ind w:left="440"/>
      </w:pPr>
      <w:r>
        <w:t>３</w:t>
      </w:r>
    </w:p>
    <w:p>
      <w:pPr>
        <w:ind w:left="440"/>
      </w:pPr>
      <w:r>
        <w:t>再処理事業者は、第一項の規定により妥当性確認の対象とされたプロセスについて、次に掲げる事項を明らかにしなければならない。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再処理事業者は、個別業務に関する計画及び個別業務の実施に係る全てのプロセスにおいて、適切な手段により個別業務及び再処理施設を識別しなければならない。</w:t>
      </w:r>
    </w:p>
    <w:p>
      <w:pPr>
        <w:pStyle w:val="Heading4"/>
      </w:pPr>
      <w:r>
        <w:t>第四十二条（追跡可能性の確保）</w:t>
      </w:r>
    </w:p>
    <w:p>
      <w:r>
        <w:t>再処理事業者は、追跡可能性（履歴、適用又は所在を追跡できる状態にあることをいう。）の確保が個別業務等要求事項である場合においては、個別業務又は再処理施設を識別し、これを記録するとともに、当該記録を管理しなければならない。</w:t>
      </w:r>
    </w:p>
    <w:p>
      <w:pPr>
        <w:pStyle w:val="Heading4"/>
      </w:pPr>
      <w:r>
        <w:t>第四十三条（再処理施設の外部の者の物品）</w:t>
      </w:r>
    </w:p>
    <w:p>
      <w:r>
        <w:t>再処理事業者は、再処理施設の外部の者の物品を所持している場合においては、必要に応じ、当該物品に関する記録を作成し、これを管理しなければならない。</w:t>
      </w:r>
    </w:p>
    <w:p>
      <w:pPr>
        <w:pStyle w:val="Heading4"/>
      </w:pPr>
      <w:r>
        <w:t>第四十四条（調達物品の保持）</w:t>
      </w:r>
    </w:p>
    <w:p>
      <w:r>
        <w:t>再処理事業者は、調達した物品が使用されるまでの間、当該物品の状態を保持（識別、取扱い、包装、保管及び保護を含む。）しなければならない。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再処理事業者は、個別業務等要求事項への適合性の実証に必要な監視測定及び当該監視測定のための設備を明確にしなければならない。</w:t>
      </w:r>
    </w:p>
    <w:p>
      <w:pPr>
        <w:pStyle w:val="Heading5"/>
        <w:ind w:left="440"/>
      </w:pPr>
      <w:r>
        <w:t>２</w:t>
      </w:r>
    </w:p>
    <w:p>
      <w:pPr>
        <w:ind w:left="440"/>
      </w:pPr>
      <w:r>
        <w:t>再処理事業者は、監視測定について、実施可能であり、かつ、当該監視測定に係る要求事項と整合性のとれた方法で実施しなければならない。</w:t>
      </w:r>
    </w:p>
    <w:p>
      <w:pPr>
        <w:pStyle w:val="Heading5"/>
        <w:ind w:left="440"/>
      </w:pPr>
      <w:r>
        <w:t>３</w:t>
      </w:r>
    </w:p>
    <w:p>
      <w:pPr>
        <w:ind w:left="440"/>
      </w:pPr>
      <w:r>
        <w:t>再処理事業者は、監視測定の結果の妥当性を確保するために必要な場合においては、監視測定のための設備を、次に掲げる条件に適合するものとしなければならない。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再処理事業者は、監視測定のための設備に係る要求事項への不適合が判明した場合においては、従前の監視測定の結果の妥当性を評価し、これを記録しなければならない。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再処理事業者は、前項の場合において、当該監視測定のための設備及び前項の不適合により影響を受けた個別業務又は再処理施設について、適切な措置を講じなければならない。</w:t>
      </w:r>
    </w:p>
    <w:p>
      <w:pPr>
        <w:pStyle w:val="Heading5"/>
        <w:ind w:left="440"/>
      </w:pPr>
      <w:r>
        <w:t>６</w:t>
      </w:r>
    </w:p>
    <w:p>
      <w:pPr>
        <w:ind w:left="440"/>
      </w:pPr>
      <w:r>
        <w:t>再処理事業者は、監視測定のための設備の校正及び検証の結果の記録を作成し、これを管理しなければならない。</w:t>
      </w:r>
    </w:p>
    <w:p>
      <w:pPr>
        <w:pStyle w:val="Heading5"/>
        <w:ind w:left="440"/>
      </w:pPr>
      <w:r>
        <w:t>７</w:t>
      </w:r>
    </w:p>
    <w:p>
      <w:pPr>
        <w:ind w:left="440"/>
      </w:pPr>
      <w:r>
        <w:t>再処理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再処理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第四十七条（再処理施設の外部の者からの意見）</w:t>
      </w:r>
    </w:p>
    <w:p>
      <w:r>
        <w:t>再処理事業者は、品質管理監督システムの実施状況の監視測定の一環として、保安の確保に対する再処理施設の外部の者の意見を把握しなければならない。</w:t>
      </w:r>
    </w:p>
    <w:p>
      <w:pPr>
        <w:pStyle w:val="Heading5"/>
        <w:ind w:left="440"/>
      </w:pPr>
      <w:r>
        <w:t>２</w:t>
      </w:r>
    </w:p>
    <w:p>
      <w:pPr>
        <w:ind w:left="440"/>
      </w:pPr>
      <w:r>
        <w:t>再処理事業者は、前項の意見の把握及び当該意見の反映に係る方法を明確にしなければならない。</w:t>
      </w:r>
    </w:p>
    <w:p>
      <w:pPr>
        <w:pStyle w:val="Heading4"/>
      </w:pPr>
      <w:r>
        <w:t>第四十八条（内部監査）</w:t>
      </w:r>
    </w:p>
    <w:p>
      <w:r>
        <w:t>再処理事業者は、品質管理監督システムが次に掲げる要件に適合しているかどうかを明確にするために、あらかじめ定めた間隔で、客観的な評価を行う部門又は再処理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再処理事業者は、内部監査の対象となるプロセス、領域の状態及び重要性並びに従前の監査の結果を考慮して、内部監査実施計画を策定しなければならない。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再処理事業者は、内部監査の判定基準、範囲、頻度及び方法を定めなければならない。</w:t>
      </w:r>
    </w:p>
    <w:p>
      <w:pPr>
        <w:pStyle w:val="Heading5"/>
        <w:ind w:left="440"/>
      </w:pPr>
      <w:r>
        <w:t>４</w:t>
      </w:r>
    </w:p>
    <w:p>
      <w:pPr>
        <w:ind w:left="440"/>
      </w:pPr>
      <w:r>
        <w:t>再処理事業者は、内部監査を行う職員（以下「内部監査員」という。）の選定及び内部監査の実施においては、客観性及び公平性を確保しなければならない。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再処理事業者は、内部監査員に自らの個別業務を内部監査させてはならない。</w:t>
      </w:r>
    </w:p>
    <w:p>
      <w:pPr>
        <w:pStyle w:val="Heading5"/>
        <w:ind w:left="440"/>
      </w:pPr>
      <w:r>
        <w:t>６</w:t>
      </w:r>
    </w:p>
    <w:p>
      <w:pPr>
        <w:ind w:left="440"/>
      </w:pPr>
      <w:r>
        <w:t>再処理事業者は、内部監査実施計画の策定及び実施並びに内部監査結果の報告及び記録の管理について、その責任及び権限並びに要求事項を手順書の中で定めなければならない。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再処理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再処理事業者は、プロセスの監視測定を行う場合においては、当該プロセスの監視測定に見合う監視測定の方法を適用しなければならない。</w:t>
      </w:r>
    </w:p>
    <w:p>
      <w:pPr>
        <w:pStyle w:val="Heading5"/>
        <w:ind w:left="440"/>
      </w:pPr>
      <w:r>
        <w:t>２</w:t>
      </w:r>
    </w:p>
    <w:p>
      <w:pPr>
        <w:ind w:left="440"/>
      </w:pPr>
      <w:r>
        <w:t>再処理事業者は、前項の監視測定の方法により、プロセスが第十二条第一項の計画及び個別業務計画に定めた結果を得ることができることを実証しなければならない。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再処理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第五十条（再処理施設に対する検査試験）</w:t>
      </w:r>
    </w:p>
    <w:p>
      <w:r>
        <w:t>再処理事業者は、再処理施設が要求事項に適合していることを検証するために、再処理施設に対して検査試験を行わなければならない。</w:t>
      </w:r>
    </w:p>
    <w:p>
      <w:pPr>
        <w:pStyle w:val="Heading5"/>
        <w:ind w:left="440"/>
      </w:pPr>
      <w:r>
        <w:t>２</w:t>
      </w:r>
    </w:p>
    <w:p>
      <w:pPr>
        <w:ind w:left="440"/>
      </w:pPr>
      <w:r>
        <w:t>再処理事業者は、前項の検査試験を、個別業務計画及び第三十九条第二号に規定する手順書に従って、個別業務の実施に係るプロセスの適切な段階において行わなければならない。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再処理事業者は、検査試験の適否決定基準への適合性の証拠となる検査試験の結果に係る記録等を作成し、これを管理しなければならない。</w:t>
      </w:r>
    </w:p>
    <w:p>
      <w:pPr>
        <w:pStyle w:val="Heading5"/>
        <w:ind w:left="440"/>
      </w:pPr>
      <w:r>
        <w:t>４</w:t>
      </w:r>
    </w:p>
    <w:p>
      <w:pPr>
        <w:ind w:left="440"/>
      </w:pPr>
      <w:r>
        <w:t>再処理事業者は、プロセスの次の段階に進むことの承認を行った者を特定する記録を作成し、これを管理しなければならない。</w:t>
      </w:r>
    </w:p>
    <w:p>
      <w:pPr>
        <w:pStyle w:val="Heading5"/>
        <w:ind w:left="440"/>
      </w:pPr>
      <w:r>
        <w:t>５</w:t>
      </w:r>
    </w:p>
    <w:p>
      <w:pPr>
        <w:ind w:left="440"/>
      </w:pPr>
      <w:r>
        <w:t>再処理事業者は、個別業務計画に基づく検査試験を支障なく完了するまでは、プロセスの次の段階に進むことの承認をしてはならない。</w:t>
      </w:r>
    </w:p>
    <w:p>
      <w:pPr>
        <w:pStyle w:val="Heading5"/>
        <w:ind w:left="440"/>
      </w:pPr>
      <w:r>
        <w:t>６</w:t>
      </w:r>
    </w:p>
    <w:p>
      <w:pPr>
        <w:ind w:left="440"/>
      </w:pPr>
      <w:r>
        <w:t>再処理事業者は、個別業務及び再処理施設の重要度に応じて、検査試験を行う者を定めなければならない。</w:t>
      </w:r>
    </w:p>
    <w:p>
      <w:pPr>
        <w:pStyle w:val="Heading4"/>
      </w:pPr>
      <w:r>
        <w:t>第五十一条（不適合の管理）</w:t>
      </w:r>
    </w:p>
    <w:p>
      <w:r>
        <w:t>再処理事業者は、要求事項に適合しない個別業務又は再処理施設が放置されることを防ぐよう、当該個別業務又は再処理施設を識別し、これが管理されているようにしなければならない。</w:t>
      </w:r>
    </w:p>
    <w:p>
      <w:pPr>
        <w:pStyle w:val="Heading5"/>
        <w:ind w:left="440"/>
      </w:pPr>
      <w:r>
        <w:t>２</w:t>
      </w:r>
    </w:p>
    <w:p>
      <w:pPr>
        <w:ind w:left="440"/>
      </w:pPr>
      <w:r>
        <w:t>再処理事業者は、不適合の処理に係る管理及びそれに関連する責任及び権限を手順書に定めなければならない。</w:t>
      </w:r>
    </w:p>
    <w:p>
      <w:pPr>
        <w:pStyle w:val="Heading5"/>
        <w:ind w:left="440"/>
      </w:pPr>
      <w:r>
        <w:t>３</w:t>
      </w:r>
    </w:p>
    <w:p>
      <w:pPr>
        <w:ind w:left="440"/>
      </w:pPr>
      <w:r>
        <w:t>再処理事業者は、次に掲げる方法のいずれかにより、不適合を処理しなければならない。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個別業務の実施、再処理施設の使用又はプロセスの次の段階に進むことの承認を行うこと（以下「特別採用」という。）。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再処理事業者は、不適合の内容の記録及び当該不適合に対して講じた措置（特別採用を含む。）の記録を作成し、これを管理しなければならない。</w:t>
      </w:r>
    </w:p>
    <w:p>
      <w:pPr>
        <w:pStyle w:val="Heading5"/>
        <w:ind w:left="440"/>
      </w:pPr>
      <w:r>
        <w:t>５</w:t>
      </w:r>
    </w:p>
    <w:p>
      <w:pPr>
        <w:ind w:left="440"/>
      </w:pPr>
      <w:r>
        <w:t>再処理事業者は、不適合に対する修正を行った場合においては、修正後の個別業務等要求事項への適合性を実証するための再検証を行わなければならない。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再処理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再処理事業者は、前項のデータの分析により、次に掲げる事項に係る情報を得なければならない。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第四十七条第二項の規定による方法により収集する再処理施設の外部の者からの意見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プロセス、再処理施設の特性及び傾向（予防処置を行う端緒となるものを含む。）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再処理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再処理事業者は、発見された不適合による影響に照らし、適切な是正処置を講じなければならない。</w:t>
      </w:r>
    </w:p>
    <w:p>
      <w:pPr>
        <w:pStyle w:val="Heading5"/>
        <w:ind w:left="440"/>
      </w:pPr>
      <w:r>
        <w:t>２</w:t>
      </w:r>
    </w:p>
    <w:p>
      <w:pPr>
        <w:ind w:left="440"/>
      </w:pPr>
      <w:r>
        <w:t>再処理事業者は、次に掲げる要求事項を規定した是正処置手順書を作成しなければならない。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再処理事業者は、起こり得る問題の影響に照らし、適切な予防処置を明確にして、これを講じなければならない。</w:t>
      </w:r>
    </w:p>
    <w:p>
      <w:pPr>
        <w:pStyle w:val="Heading5"/>
        <w:ind w:left="440"/>
      </w:pPr>
      <w:r>
        <w:t>２</w:t>
      </w:r>
    </w:p>
    <w:p>
      <w:pPr>
        <w:ind w:left="440"/>
      </w:pPr>
      <w:r>
        <w:t>再処理事業者は、次に掲げる要求事項（根本原因分析に係る要求事項を含む。）を定めた予防処置手順書を作成しなければならない。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再処理施設に係る再処理事業者の設計及び工事に係る品質管理の方法及びその検査のための組織の技術基準に関する規則</w:t>
      <w:br/>
      <w:tab/>
      <w:t>（平成二十五年原子力規制委員会規則第二十八号）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再処理施設に係る再処理事業者の設計及び工事に係る品質管理の方法及びその検査のための組織の技術基準に関する規則（平成二十五年原子力規制委員会規則第二十八号）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