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再就職等監視委員会事務局組織規則</w:t>
        <w:br/>
        <w:t>（平成二十年内閣府令第八十五号）</w:t>
      </w:r>
    </w:p>
    <w:p>
      <w:r>
        <w:t>再就職等監視委員会事務局に、参事官一人を置く。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参事官は、命を受けて局務に関する重要事項の調査審議に参画する。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この府令は、国家公務員法等の一部を改正する法律（平成十九年法律第百八号）の施行の日（平成二十年十二月三十一日）から施行する。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再就職等監視委員会事務局組織規則</w:t>
      <w:br/>
      <w:tab/>
      <w:t>（平成二十年内閣府令第八十五号）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再就職等監視委員会事務局組織規則（平成二十年内閣府令第八十五号）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