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刑事確定訴訟記録閲覧手数料令</w:t>
        <w:br/>
        <w:t>（昭和六十二年政令第三百七十九号）</w:t>
      </w:r>
    </w:p>
    <w:p>
      <w:r>
        <w:t>刑事確定訴訟記録法第七条に規定する政令で定める手数料の額は、記録一件につき一回百五十円とする。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この政令は、昭和六十三年一月一日から施行する。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刑事確定訴訟記録閲覧手数料令</w:t>
      <w:br/>
      <w:tab/>
      <w:t>（昭和六十二年政令第三百七十九号）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刑事確定訴訟記録閲覧手数料令（昭和六十二年政令第三百七十九号）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