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労働金庫及び労働金庫連合会の労働金庫電子決済等代行業者との連携及び協働に係る方針に関する命令</w:t>
        <w:br/>
        <w:t>（平成二十九年内閣府・厚生労働省令第三号）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労働金庫又は労働金庫連合会が決定する労働金庫電子決済等代行業者（改正法による改正後の労働金庫法（以下この条において「新法」という。）第八十九条の十二第一項の規定により労働金庫電子決済等代行業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労働金庫電子決済等代行業者との連携及び協働に係る基本方針</w:t>
      </w:r>
    </w:p>
    <w:p>
      <w:pPr>
        <w:pStyle w:val="Heading6"/>
        <w:ind w:left="880"/>
      </w:pPr>
      <w:r>
        <w:t>二</w:t>
      </w:r>
    </w:p>
    <w:p>
      <w:pPr>
        <w:ind w:left="880"/>
      </w:pPr>
      <w:r>
        <w:t>当該労働金庫が新法第八十九条の八第一項に規定する同意をするかどうかの別</w:t>
      </w:r>
    </w:p>
    <w:p>
      <w:pPr>
        <w:pStyle w:val="Heading6"/>
        <w:ind w:left="880"/>
      </w:pPr>
      <w:r>
        <w:t>三</w:t>
      </w:r>
    </w:p>
    <w:p>
      <w:pPr>
        <w:ind w:left="880"/>
      </w:pPr>
      <w:r>
        <w:t>労働金庫電子決済等代行業者が、その営む労働金庫電子決済等代行業の利用者から当該利用者に係る識別符号等を取得することなく当該労働金庫又は労働金庫連合会（以下「金庫」と総称する。）に係る労働金庫電子決済等代行業を営むことができる体制のうち、新法第八十九条の五第二項第一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前号に規定する体制のうち、新法第八十九条の五第二項第二号に掲げる行為を行うことができるものの整備を行うかどうかの別及びその理由並びに当該整備を行う場合には、当該整備の完了を予定する時期</w:t>
      </w:r>
    </w:p>
    <w:p>
      <w:pPr>
        <w:pStyle w:val="Heading6"/>
        <w:ind w:left="880"/>
      </w:pPr>
      <w:r>
        <w:t>五</w:t>
      </w:r>
    </w:p>
    <w:p>
      <w:pPr>
        <w:ind w:left="880"/>
      </w:pPr>
      <w:r>
        <w:t>第三号又は前号に規定する整備を行う場合には、システムの設計、運用及び保守を自ら行うか、又は第三者に委託して行わせるかの別その他の当該整備に係るシステムの構築に関する方針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六</w:t>
      </w:r>
    </w:p>
    <w:p>
      <w:pPr>
        <w:ind w:left="880"/>
      </w:pPr>
      <w:r>
        <w:t>当該金庫において労働金庫電子決済等代行業者との連携及び協働に係る業務を行う部門の名称及び連絡先</w:t>
      </w:r>
    </w:p>
    <w:p>
      <w:pPr>
        <w:pStyle w:val="Heading6"/>
        <w:ind w:left="880"/>
      </w:pPr>
      <w:r>
        <w:t>七</w:t>
      </w:r>
    </w:p>
    <w:p>
      <w:pPr>
        <w:ind w:left="880"/>
      </w:pPr>
      <w:r>
        <w:t>その他労働金庫電子決済等代行業者が当該金庫との連携及び協働を検討するに当たって参考となるべき情報</w:t>
      </w:r>
    </w:p>
    <w:p>
      <w:pPr>
        <w:pStyle w:val="Heading4"/>
      </w:pPr>
      <w:r>
        <w:t>第三条（連携及び協働に係る方針の公表）</w:t>
      </w:r>
    </w:p>
    <w:p>
      <w:r>
        <w:t>金庫は、前条の方針を決定したときは、遅滞なく、これをインターネットの利用その他の方法により公表しなければならない。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労働金庫及び労働金庫連合会の労働金庫電子決済等代行業者との連携及び協働に係る方針に関する命令</w:t>
      <w:br/>
      <w:tab/>
      <w:t>（平成二十九年内閣府・厚生労働省令第三号）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労働金庫及び労働金庫連合会の労働金庫電子決済等代行業者との連携及び協働に係る方針に関する命令（平成二十九年内閣府・厚生労働省令第三号）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