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医道審議会令</w:t>
        <w:br/>
        <w:t>（平成十二年政令第二百八十五号）</w:t>
      </w:r>
    </w:p>
    <w:p>
      <w:pPr>
        <w:pStyle w:val="Heading4"/>
      </w:pPr>
      <w:r>
        <w:t>第一条（組織）</w:t>
      </w:r>
    </w:p>
    <w:p>
      <w:r>
        <w:t>医道審議会（以下「審議会」という。）は、委員三十人以内で組織する。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委員及び臨時委員は、次の各号に掲げる者のうちから、厚生労働大臣が任命する。</w:t>
      </w:r>
    </w:p>
    <w:p>
      <w:pPr>
        <w:pStyle w:val="Heading6"/>
        <w:ind w:left="880"/>
      </w:pPr>
      <w:r>
        <w:t>一</w:t>
      </w:r>
    </w:p>
    <w:p>
      <w:pPr>
        <w:ind w:left="880"/>
      </w:pPr>
      <w:r>
        <w:t>社団法人日本医師会（昭和二十二年十一月一日に社団法人日本医師会という名称で設立された法人をいう。）の長</w:t>
      </w:r>
    </w:p>
    <w:p>
      <w:pPr>
        <w:pStyle w:val="Heading6"/>
        <w:ind w:left="880"/>
      </w:pPr>
      <w:r>
        <w:t>二</w:t>
      </w:r>
    </w:p>
    <w:p>
      <w:pPr>
        <w:ind w:left="880"/>
      </w:pPr>
      <w:r>
        <w:t>社団法人日本歯科医師会（昭和二十二年十一月一日に社団法人日本歯科医師会という名称で設立された法人をいう。）の長</w:t>
      </w:r>
    </w:p>
    <w:p>
      <w:pPr>
        <w:pStyle w:val="Heading6"/>
        <w:ind w:left="880"/>
      </w:pPr>
      <w:r>
        <w:t>三</w:t>
      </w:r>
    </w:p>
    <w:p>
      <w:pPr>
        <w:ind w:left="880"/>
      </w:pPr>
      <w:r>
        <w:t>学識経験のある者</w:t>
      </w:r>
    </w:p>
    <w:p>
      <w:pPr>
        <w:pStyle w:val="Heading5"/>
        <w:ind w:left="440"/>
      </w:pPr>
      <w:r>
        <w:t>２</w:t>
      </w:r>
    </w:p>
    <w:p>
      <w:pPr>
        <w:ind w:left="440"/>
      </w:pPr>
      <w:r>
        <w:t>専門委員は、当該専門の事項に関し学識経験のある者のうちから、厚生労働大臣が任命する。</w:t>
      </w:r>
    </w:p>
    <w:p>
      <w:pPr>
        <w:pStyle w:val="Heading4"/>
      </w:pPr>
      <w:r>
        <w:t>第三条（委員の任期等）</w:t>
      </w:r>
    </w:p>
    <w:p>
      <w:r>
        <w:t>前条第一項第三号に掲げる者のうちから任命された委員の任期は、二年とする。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学識経験のある者（医道分科会に属すべき委員及び臨時委員にあっては、第二条第一項各号に掲げる者）のうちから、厚生労働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審議会の庶務は、厚生労働省医政局医事課において総括し、及び処理する。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則（平成二〇年三月三一日政令第九四号）</w:t>
      </w:r>
    </w:p>
    <w:p>
      <w:r>
        <w:t>この政令は、平成二十年四月一日から施行する。</w:t>
      </w:r>
    </w:p>
    <w:p>
      <w:r>
        <w:br w:type="page"/>
      </w:r>
    </w:p>
    <w:p>
      <w:pPr>
        <w:pStyle w:val="Heading1"/>
      </w:pPr>
      <w:r>
        <w:t>附　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　則（平成三〇年七月二五日政令第二一六号）</w:t>
      </w:r>
    </w:p>
    <w:p>
      <w:r>
        <w:t>この政令は、公布の日から施行する。</w:t>
      </w:r>
    </w:p>
    <w:p>
      <w:r>
        <w:br w:type="page"/>
      </w:r>
    </w:p>
    <w:p>
      <w:pPr>
        <w:pStyle w:val="Heading1"/>
      </w:pPr>
      <w:r>
        <w:t>附　則（平成三一年一月二三日政令第八号）</w:t>
      </w:r>
    </w:p>
    <w:p>
      <w:r>
        <w:t>この政令は、令和二年四月一日から施行する。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p>
      <w:pPr>
        <w:pStyle w:val="Heading6"/>
        <w:ind w:left="880"/>
      </w:pPr>
      <w:r>
        <w:t>二</w:t>
      </w:r>
    </w:p>
    <w:p>
      <w:pPr>
        <w:ind w:left="880"/>
      </w:pPr>
      <w:r>
        <w:t>第二条から第五条まで、第七条及び第八条の規定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医道審議会令</w:t>
      <w:br/>
      <w:tab/>
      <w:t>（平成十二年政令第二百八十五号）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医道審議会令（平成十二年政令第二百八十五号）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