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医道審議会令</w:t>
        <w:br/>
        <w:t>（平成十二年政令第二百八十五号）</w:t>
      </w:r>
    </w:p>
    <w:p>
      <w:pPr>
        <w:pStyle w:val="Heading4"/>
      </w:pPr>
      <w:r>
        <w:t>第一条（組織）</w:t>
      </w:r>
    </w:p>
    <w:p>
      <w:r>
        <w:t>医道審議会（以下「審議会」という。）は、委員三十人以内で組織する。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委員及び臨時委員は、次の各号に掲げる者のうちから、厚生労働大臣が任命する。</w:t>
      </w:r>
    </w:p>
    <w:p>
      <w:pPr>
        <w:pStyle w:val="ListBullet"/>
        <w:ind w:left="880"/>
      </w:pPr>
      <w:r>
        <w:t>一</w:t>
        <w:br/>
        <w:t>社団法人日本医師会（昭和二十二年十一月一日に社団法人日本医師会という名称で設立された法人をいう。）の長</w:t>
      </w:r>
    </w:p>
    <w:p>
      <w:pPr>
        <w:pStyle w:val="ListBullet"/>
        <w:ind w:left="880"/>
      </w:pPr>
      <w:r>
        <w:t>二</w:t>
        <w:br/>
        <w:t>社団法人日本歯科医師会（昭和二十二年十一月一日に社団法人日本歯科医師会という名称で設立された法人をいう。）の長</w:t>
      </w:r>
    </w:p>
    <w:p>
      <w:pPr>
        <w:pStyle w:val="ListBullet"/>
        <w:ind w:left="880"/>
      </w:pPr>
      <w:r>
        <w:t>三</w:t>
        <w:br/>
        <w:t>学識経験のある者</w:t>
      </w:r>
    </w:p>
    <w:p>
      <w:pPr>
        <w:pStyle w:val="Heading5"/>
        <w:ind w:left="440"/>
      </w:pPr>
      <w:r>
        <w:t>２</w:t>
      </w:r>
    </w:p>
    <w:p>
      <w:pPr>
        <w:ind w:left="440"/>
      </w:pPr>
      <w:r>
        <w:t>専門委員は、当該専門の事項に関し学識経験のある者のうちから、厚生労働大臣が任命する。</w:t>
      </w:r>
    </w:p>
    <w:p>
      <w:pPr>
        <w:pStyle w:val="Heading4"/>
      </w:pPr>
      <w:r>
        <w:t>第三条（委員の任期等）</w:t>
      </w:r>
    </w:p>
    <w:p>
      <w:r>
        <w:t>前条第一項第三号に掲げる者のうちから任命された委員の任期は、二年とする。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審議会に会長を置き、委員の互選により選任する。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会長に事故があるときは、あらかじめその指名する委員が、その職務を代理する。</w:t>
      </w:r>
    </w:p>
    <w:p>
      <w:pPr>
        <w:pStyle w:val="Heading4"/>
      </w:pPr>
      <w:r>
        <w:t>第五条（分科会）</w:t>
      </w:r>
    </w:p>
    <w:p>
      <w:r>
        <w:t>審議会に、次の表の上欄に掲げる分科会を置き、これらの分科会の所掌事務は、審議会の所掌事務のうち、それぞれ同表の下欄に掲げるとおりとする。</w:t>
      </w:r>
    </w:p>
    <w:p>
      <w:pPr>
        <w:pStyle w:val="Heading5"/>
        <w:ind w:left="440"/>
      </w:pPr>
      <w:r>
        <w:t>２</w:t>
      </w:r>
    </w:p>
    <w:p>
      <w:pPr>
        <w:ind w:left="440"/>
      </w:pPr>
      <w:r>
        <w:t>前項の表の上欄に掲げる分科会に属すべき委員、臨時委員及び専門委員は、学識経験のある者（医道分科会に属すべき委員及び臨時委員にあっては、第二条第一項各号に掲げる者）のうちから、厚生労働大臣が指名する。</w:t>
      </w:r>
    </w:p>
    <w:p>
      <w:pPr>
        <w:pStyle w:val="Heading5"/>
        <w:ind w:left="440"/>
      </w:pPr>
      <w:r>
        <w:t>３</w:t>
      </w:r>
    </w:p>
    <w:p>
      <w:pPr>
        <w:ind w:left="440"/>
      </w:pPr>
      <w:r>
        <w:t>分科会に分科会長を置き、当該分科会に属する委員の互選により選任する。</w:t>
      </w:r>
    </w:p>
    <w:p>
      <w:pPr>
        <w:pStyle w:val="Heading5"/>
        <w:ind w:left="440"/>
      </w:pPr>
      <w:r>
        <w:t>４</w:t>
      </w:r>
    </w:p>
    <w:p>
      <w:pPr>
        <w:ind w:left="440"/>
      </w:pPr>
      <w:r>
        <w:t>分科会長は、当該分科会の事務を掌理する。</w:t>
      </w:r>
    </w:p>
    <w:p>
      <w:pPr>
        <w:pStyle w:val="Heading5"/>
        <w:ind w:left="440"/>
      </w:pPr>
      <w:r>
        <w:t>５</w:t>
      </w:r>
    </w:p>
    <w:p>
      <w:pPr>
        <w:ind w:left="440"/>
      </w:pPr>
      <w:r>
        <w:t>分科会長に事故があるときは、当該分科会に属する委員又は臨時委員のうちから分科会長があらかじめ指名する者が、その職務を代理する。</w:t>
      </w:r>
    </w:p>
    <w:p>
      <w:pPr>
        <w:pStyle w:val="Heading5"/>
        <w:ind w:left="440"/>
      </w:pPr>
      <w:r>
        <w:t>６</w:t>
      </w:r>
    </w:p>
    <w:p>
      <w:pPr>
        <w:ind w:left="440"/>
      </w:pPr>
      <w:r>
        <w:t>審議会は、その定めるところにより、分科会の議決をもって審議会の議決とすることができる。</w:t>
      </w:r>
    </w:p>
    <w:p>
      <w:pPr>
        <w:pStyle w:val="Heading4"/>
      </w:pPr>
      <w:r>
        <w:t>第六条（部会）</w:t>
      </w:r>
    </w:p>
    <w:p>
      <w:r>
        <w:t>審議会及び分科会は、その定めるところにより、部会を置くことができる。</w:t>
      </w:r>
    </w:p>
    <w:p>
      <w:pPr>
        <w:pStyle w:val="Heading5"/>
        <w:ind w:left="440"/>
      </w:pPr>
      <w:r>
        <w:t>２</w:t>
      </w:r>
    </w:p>
    <w:p>
      <w:pPr>
        <w:ind w:left="440"/>
      </w:pPr>
      <w:r>
        <w:t>部会に属すべき委員、臨時委員及び専門委員は、会長（分科会に置かれる部会にあっては、分科会長）が指名する。</w:t>
      </w:r>
    </w:p>
    <w:p>
      <w:pPr>
        <w:pStyle w:val="Heading5"/>
        <w:ind w:left="440"/>
      </w:pPr>
      <w:r>
        <w:t>３</w:t>
      </w:r>
    </w:p>
    <w:p>
      <w:pPr>
        <w:ind w:left="440"/>
      </w:pPr>
      <w:r>
        <w:t>部会に部会長を置き、当該部会に属する委員の互選により選任する。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部会長に事故があるときは、当該部会に属する委員又は臨時委員のうちから部会長があらかじめ指名する者が、その職務を代理する。</w:t>
      </w:r>
    </w:p>
    <w:p>
      <w:pPr>
        <w:pStyle w:val="Heading5"/>
        <w:ind w:left="440"/>
      </w:pPr>
      <w:r>
        <w:t>６</w:t>
      </w:r>
    </w:p>
    <w:p>
      <w:pPr>
        <w:ind w:left="440"/>
      </w:pPr>
      <w:r>
        <w:t>審議会（分科会に置かれる部会にあっては、分科会。以下この項において同じ。）は、その定めるところにより、部会の議決をもって審議会の議決とすることができる。</w:t>
      </w:r>
    </w:p>
    <w:p>
      <w:pPr>
        <w:pStyle w:val="Heading4"/>
      </w:pPr>
      <w:r>
        <w:t>第七条（議事）</w:t>
      </w:r>
    </w:p>
    <w:p>
      <w:r>
        <w:t>審議会は、委員及び議事に関係のある臨時委員の過半数が出席しなければ、会議を開き、議決することができない。</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前二項の規定は、分科会及び部会の議事に準用する。</w:t>
      </w:r>
    </w:p>
    <w:p>
      <w:pPr>
        <w:pStyle w:val="Heading4"/>
      </w:pPr>
      <w:r>
        <w:t>第八条（資料の提出等の要求）</w:t>
      </w:r>
    </w:p>
    <w:p>
      <w:r>
        <w:t>審議会は、その所掌事務を遂行するため必要があると認めるときは、関係行政機関の長に対し、資料の提出、意見の表明、説明その他必要な協力を求めることができる。</w:t>
      </w:r>
    </w:p>
    <w:p>
      <w:pPr>
        <w:pStyle w:val="Heading4"/>
      </w:pPr>
      <w:r>
        <w:t>第九条（庶務）</w:t>
      </w:r>
    </w:p>
    <w:p>
      <w:r>
        <w:t>審議会の庶務は、厚生労働省医政局医事課において総括し、及び処理する。</w:t>
        <w:br/>
        <w:t>ただし、歯科医師分科会に係るものについては厚生労働省医政局歯科保健課、保健師助産師看護師分科会に係るものについては厚生労働省医政局看護課、薬剤師分科会に係るものについては厚生労働省医薬・生活衛生局総務課において処理する。</w:t>
      </w:r>
    </w:p>
    <w:p>
      <w:pPr>
        <w:pStyle w:val="Heading4"/>
      </w:pPr>
      <w:r>
        <w:t>第十条（雑則）</w:t>
      </w:r>
    </w:p>
    <w:p>
      <w:r>
        <w:t>この政令に定めるもののほか、議事の手続その他審議会の運営に関し必要な事項は、会長が審議会に諮って定める。</w:t>
      </w:r>
    </w:p>
    <w:p>
      <w:r>
        <w:br w:type="page"/>
      </w:r>
    </w:p>
    <w:p>
      <w:pPr>
        <w:pStyle w:val="Heading1"/>
      </w:pPr>
      <w:r>
        <w:t>附　則</w:t>
      </w:r>
    </w:p>
    <w:p>
      <w:r>
        <w:t>この政令は、内閣法の一部を改正する法律（平成十一年法律第八十八号）の施行の日（平成十三年一月六日）から施行する。</w:t>
      </w:r>
    </w:p>
    <w:p>
      <w:r>
        <w:br w:type="page"/>
      </w:r>
    </w:p>
    <w:p>
      <w:pPr>
        <w:pStyle w:val="Heading1"/>
      </w:pPr>
      <w:r>
        <w:t>附則（平成一四年一月一七日政令第四号）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附則（平成一九年三月二日政令第三九号）</w:t>
      </w:r>
    </w:p>
    <w:p>
      <w:r>
        <w:t>この政令は、一般社団法人及び一般財団法人に関する法律の施行の日から施行する。</w:t>
      </w:r>
    </w:p>
    <w:p>
      <w:r>
        <w:br w:type="page"/>
      </w:r>
    </w:p>
    <w:p>
      <w:pPr>
        <w:pStyle w:val="Heading1"/>
      </w:pPr>
      <w:r>
        <w:t>附則（平成二〇年三月三一日政令第九四号）</w:t>
      </w:r>
    </w:p>
    <w:p>
      <w:r>
        <w:t>この政令は、平成二十年四月一日から施行する。</w:t>
      </w:r>
    </w:p>
    <w:p>
      <w:r>
        <w:br w:type="page"/>
      </w:r>
    </w:p>
    <w:p>
      <w:pPr>
        <w:pStyle w:val="Heading1"/>
      </w:pPr>
      <w:r>
        <w:t>附則（平成二七年九月一八日政令第三三〇号）</w:t>
      </w:r>
    </w:p>
    <w:p>
      <w:pPr>
        <w:pStyle w:val="Heading4"/>
      </w:pPr>
      <w:r>
        <w:t>第一条（施行期日）</w:t>
      </w:r>
    </w:p>
    <w:p>
      <w:r>
        <w:t>この政令は、平成二十七年十月一日から施行する。</w:t>
      </w:r>
    </w:p>
    <w:p>
      <w:r>
        <w:br w:type="page"/>
      </w:r>
    </w:p>
    <w:p>
      <w:pPr>
        <w:pStyle w:val="Heading1"/>
      </w:pPr>
      <w:r>
        <w:t>附則（平成三〇年七月二五日政令第二一六号）</w:t>
      </w:r>
    </w:p>
    <w:p>
      <w:r>
        <w:t>この政令は、公布の日から施行する。</w:t>
      </w:r>
    </w:p>
    <w:p>
      <w:r>
        <w:br w:type="page"/>
      </w:r>
    </w:p>
    <w:p>
      <w:pPr>
        <w:pStyle w:val="Heading1"/>
      </w:pPr>
      <w:r>
        <w:t>附則（平成三一年一月二三日政令第八号）</w:t>
      </w:r>
    </w:p>
    <w:p>
      <w:r>
        <w:t>この政令は、令和二年四月一日から施行する。</w:t>
      </w:r>
    </w:p>
    <w:p>
      <w:r>
        <w:br w:type="page"/>
      </w:r>
    </w:p>
    <w:p>
      <w:pPr>
        <w:pStyle w:val="Heading1"/>
      </w:pPr>
      <w:r>
        <w:t>附則（令和元年六月一四日政令第二七号）</w:t>
      </w:r>
    </w:p>
    <w:p>
      <w:pPr>
        <w:pStyle w:val="Heading4"/>
      </w:pPr>
      <w:r>
        <w:t>第一条（施行期日）</w:t>
      </w:r>
    </w:p>
    <w:p>
      <w:r>
        <w:t>この政令は、成年被後見人等の権利の制限に係る措置の適正化等を図るための関係法律の整備に関する法律（第二号において「整備法」という。）の施行の日から施行する。</w:t>
        <w:br/>
        <w:t>ただし、次の各号に掲げる規定は、当該各号に定める日から施行する。</w:t>
      </w:r>
    </w:p>
    <w:p>
      <w:pPr>
        <w:pStyle w:val="ListBullet"/>
        <w:ind w:left="880"/>
      </w:pPr>
      <w:r>
        <w:t>一</w:t>
        <w:br/>
        <w:t>第一条、第十条及び第十一条（働き方改革を推進するための関係法律の整備に関する法律の一部の施行に伴う経過措置に関する政令附則の改正規定に限る。）並びに次条から附則第五条までの規定</w:t>
        <w:br/>
        <w:br/>
        <w:br/>
        <w:t>公布の日</w:t>
      </w:r>
    </w:p>
    <w:p>
      <w:pPr>
        <w:pStyle w:val="ListBullet"/>
        <w:ind w:left="880"/>
      </w:pPr>
      <w:r>
        <w:t>二</w:t>
        <w:br/>
        <w:t>第二条から第五条まで、第七条及び第八条の規定</w:t>
        <w:br/>
        <w:br/>
        <w:br/>
        <w:t>整備法附則第一条第二号に掲げる規定の施行の日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医道審議会令</w:t>
      <w:br/>
      <w:tab/>
      <w:t>（平成十二年政令第二百八十五号）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医道審議会令（平成十二年政令第二百八十五号）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