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半島振興法施行令</w:t>
        <w:br/>
        <w:t>（昭和六十一年政令第二百四十三号）</w:t>
      </w:r>
    </w:p>
    <w:p>
      <w:pPr>
        <w:pStyle w:val="Heading4"/>
      </w:pPr>
      <w:r>
        <w:t>第一条（主要な道路により連絡される交通施設）</w:t>
      </w:r>
    </w:p>
    <w:p>
      <w:r>
        <w:t>半島振興法（以下「法」という。）第十条の一般国道その他の政令で定める交通施設は、一般国道、高速自動車国道、新幹線鉄道の停車場及び空港とする。</w:t>
      </w:r>
    </w:p>
    <w:p>
      <w:pPr>
        <w:pStyle w:val="Heading4"/>
      </w:pPr>
      <w:r>
        <w:t>第二条（基幹的な市町村道等の指定等）</w:t>
      </w:r>
    </w:p>
    <w:p>
      <w:r>
        <w:t>法第十一条第一項の政令で定める関係行政機関の長は、基幹的な市町村道については国土交通大臣、市町村が管理する基幹的な農道、林道及び漁港関連道については農林水産大臣とする。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一条第一項の規定により市町村道の新設又は改築に関する工事を行おうとするときは、あらかじめ、当該市町村道の路線名、工事区間、工事の種類及び工事の開始の日を告示しなければならない。</w:t>
      </w:r>
    </w:p>
    <w:p>
      <w:pPr>
        <w:pStyle w:val="Heading5"/>
        <w:ind w:left="440"/>
      </w:pPr>
      <w:r>
        <w:t>３</w:t>
      </w:r>
    </w:p>
    <w:p>
      <w:pPr>
        <w:ind w:left="440"/>
      </w:pPr>
      <w:r>
        <w:t>法第十一条第二項の規定により都道府県が市町村道の道路管理者に代わつて行う権限は、道路法施行令（昭和二十七年政令第四百七十九号）第四条第一項各号（第二号を除く。）に掲げるものとする。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r>
    </w:p>
    <w:p>
      <w:pPr>
        <w:pStyle w:val="Heading5"/>
        <w:ind w:left="440"/>
      </w:pPr>
      <w:r>
        <w:t>５</w:t>
      </w:r>
    </w:p>
    <w:p>
      <w:pPr>
        <w:ind w:left="440"/>
      </w:pPr>
      <w:r>
        <w:t>都道府県は、法第十一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一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r>
        <w:br w:type="page"/>
      </w:r>
    </w:p>
    <w:p>
      <w:pPr>
        <w:pStyle w:val="Heading1"/>
      </w:pPr>
      <w:r>
        <w:t>附　則</w:t>
      </w:r>
    </w:p>
    <w:p>
      <w:r>
        <w:t>この政令は、公布の日から施行する。</w:t>
      </w:r>
    </w:p>
    <w:p>
      <w:r>
        <w:br w:type="page"/>
      </w:r>
    </w:p>
    <w:p>
      <w:pPr>
        <w:pStyle w:val="Heading1"/>
      </w:pPr>
      <w:r>
        <w:t>附　則（昭和六二年三月三一日政令第一〇六号）</w:t>
      </w:r>
    </w:p>
    <w:p>
      <w:pPr>
        <w:pStyle w:val="Heading4"/>
      </w:pPr>
      <w:r>
        <w:t>第一条（施行期日）</w:t>
      </w:r>
    </w:p>
    <w:p>
      <w:r>
        <w:t>この政令は、昭和六十二年四月一日から施行する。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r>
        <w:br w:type="page"/>
      </w:r>
    </w:p>
    <w:p>
      <w:pPr>
        <w:pStyle w:val="Heading1"/>
      </w:pPr>
      <w:r>
        <w:t>附　則（昭和六三年四月二六日政令第一二九号）</w:t>
      </w:r>
    </w:p>
    <w:p>
      <w:r>
        <w:t>この政令は、公布の日から施行する。</w:t>
      </w:r>
    </w:p>
    <w:p>
      <w:r>
        <w:br w:type="page"/>
      </w:r>
    </w:p>
    <w:p>
      <w:pPr>
        <w:pStyle w:val="Heading1"/>
      </w:pPr>
      <w:r>
        <w:t>附　則（平成二年三月一四日政令第三〇号）</w:t>
      </w:r>
    </w:p>
    <w:p>
      <w:r>
        <w:t>この政令は、平成二年四月一日から施行する。</w:t>
      </w:r>
    </w:p>
    <w:p>
      <w:pPr>
        <w:pStyle w:val="Heading5"/>
        <w:ind w:left="440"/>
      </w:pPr>
      <w:r>
        <w:t>２</w:t>
      </w:r>
    </w:p>
    <w:p>
      <w:pPr>
        <w:ind w:left="440"/>
      </w:pPr>
      <w:r>
        <w:t>改正後の第四条の規定は、この政令の施行の日以後に工業生産設備を新設し、又は増設した者について適用し、同日前に工業生産設備を新設し、又は増設した者については、なお従前の例による。</w:t>
      </w:r>
    </w:p>
    <w:p>
      <w:r>
        <w:br w:type="page"/>
      </w:r>
    </w:p>
    <w:p>
      <w:pPr>
        <w:pStyle w:val="Heading1"/>
      </w:pPr>
      <w:r>
        <w:t>附　則（平成七年三月三一日政令第一五三号）</w:t>
      </w:r>
    </w:p>
    <w:p>
      <w:pPr>
        <w:pStyle w:val="Heading4"/>
      </w:pPr>
      <w:r>
        <w:t>第一条（施行期日）</w:t>
      </w:r>
    </w:p>
    <w:p>
      <w:r>
        <w:t>この政令は、平成七年四月一日（以下「施行日」という。）から施行する。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半島振興法施行令</w:t>
      <w:br/>
      <w:tab/>
      <w:t>（昭和六十一年政令第二百四十三号）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半島振興法施行令（昭和六十一年政令第二百四十三号）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