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協同組織金融機関の優先出資に関する法律に係る民間事業者等が行う書面の保存等における情報通信の技術の利用に関する命令</w:t>
        <w:br/>
        <w:t>（平成十七年内閣府・厚生労働省・農林水産省令第一号）</w:t>
      </w:r>
    </w:p>
    <w:p>
      <w:pPr>
        <w:pStyle w:val="Heading4"/>
      </w:pPr>
      <w:r>
        <w:t>第一条（趣旨）</w:t>
      </w:r>
    </w:p>
    <w:p>
      <w:r>
        <w:t>民間事業者等が、協同組織金融機関の優先出資に関する法律（以下「優先出資法」という。）に係る保存等を、電磁的記録を使用して行う場合については、他の法律及び法律に基づく命令（告示を含む。）に特別の定めのある場合を除くほか、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法第三条第一項の主務省令で定める保存は、優先出資法中、次に掲げる規定に基づく書面の保存とする。</w:t>
      </w:r>
    </w:p>
    <w:p>
      <w:pPr>
        <w:pStyle w:val="Heading6"/>
        <w:ind w:left="880"/>
      </w:pPr>
      <w:r>
        <w:t>一</w:t>
      </w:r>
    </w:p>
    <w:p>
      <w:pPr>
        <w:ind w:left="880"/>
      </w:pPr>
      <w:r>
        <w:t>第二十二条第一項及び第三項</w:t>
      </w:r>
    </w:p>
    <w:p>
      <w:pPr>
        <w:pStyle w:val="Heading6"/>
        <w:ind w:left="880"/>
      </w:pPr>
      <w:r>
        <w:t>二</w:t>
      </w:r>
    </w:p>
    <w:p>
      <w:pPr>
        <w:ind w:left="880"/>
      </w:pPr>
      <w:r>
        <w:t>第三十九条第二項及び第三項</w:t>
      </w:r>
    </w:p>
    <w:p>
      <w:pPr>
        <w:pStyle w:val="Heading6"/>
        <w:ind w:left="880"/>
      </w:pPr>
      <w:r>
        <w:t>三</w:t>
      </w:r>
    </w:p>
    <w:p>
      <w:pPr>
        <w:ind w:left="880"/>
      </w:pPr>
      <w:r>
        <w:t>第四十条第二項において準用する会社法（平成十七年法律第八十六号）第三百十条第六項及び第三百十一条第三項</w:t>
      </w:r>
    </w:p>
    <w:p>
      <w:pPr>
        <w:pStyle w:val="Heading6"/>
        <w:ind w:left="880"/>
      </w:pPr>
      <w:r>
        <w:t>四</w:t>
      </w:r>
    </w:p>
    <w:p>
      <w:pPr>
        <w:ind w:left="880"/>
      </w:pPr>
      <w:r>
        <w:t>第四十条第三項において準用する会社法第三百十九条第二項</w:t>
      </w:r>
    </w:p>
    <w:p>
      <w:pPr>
        <w:pStyle w:val="Heading4"/>
      </w:pPr>
      <w:r>
        <w:t>第四条（電磁的記録による保存）</w:t>
      </w:r>
    </w:p>
    <w:p>
      <w:r>
        <w:t>民間事業者等が、法第三条第一項の規定に基づき、前条各号に掲げる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き、前条各号に掲げる規定に基づく書面の保存に代えて当該書面に係る電磁的記録の保存を行う場合は、必要に応じて電磁的記録に記録されている事項について、電子計算機の映像面への表示及び書面への出力ができるようにするための措置を講じなければならない。</w:t>
      </w:r>
    </w:p>
    <w:p>
      <w:pPr>
        <w:pStyle w:val="Heading5"/>
        <w:ind w:left="440"/>
      </w:pPr>
      <w:r>
        <w:t>３</w:t>
      </w:r>
    </w:p>
    <w:p>
      <w:pPr>
        <w:ind w:left="440"/>
      </w:pPr>
      <w:r>
        <w:t>前条各号に掲げる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について、他の事務所等に備え付けた電子計算機の映像面への表示及び書面への出力ができるようにするための措置を講じた場合は、当該他の事務所等に当該書面の保存が行われたものとみなす。</w:t>
      </w:r>
    </w:p>
    <w:p>
      <w:pPr>
        <w:pStyle w:val="Heading4"/>
      </w:pPr>
      <w:r>
        <w:t>第五条（法第五条第一項の主務省令で定める縦覧等）</w:t>
      </w:r>
    </w:p>
    <w:p>
      <w:r>
        <w:t>法第五条第一項の主務省令で定める縦覧等は、優先出資法中、次に掲げる規定に基づく書面の縦覧等とする。</w:t>
      </w:r>
    </w:p>
    <w:p>
      <w:pPr>
        <w:pStyle w:val="Heading6"/>
        <w:ind w:left="880"/>
      </w:pPr>
      <w:r>
        <w:t>一</w:t>
      </w:r>
    </w:p>
    <w:p>
      <w:pPr>
        <w:ind w:left="880"/>
      </w:pPr>
      <w:r>
        <w:t>第二十二条第一項（第一号に係る部分に限る。）、第二項（第一号に係る部分に限る。）及び第三項（第一号に係る部分に限る。）</w:t>
      </w:r>
    </w:p>
    <w:p>
      <w:pPr>
        <w:pStyle w:val="Heading6"/>
        <w:ind w:left="880"/>
      </w:pPr>
      <w:r>
        <w:t>二</w:t>
      </w:r>
    </w:p>
    <w:p>
      <w:pPr>
        <w:ind w:left="880"/>
      </w:pPr>
      <w:r>
        <w:t>第二十六条において準用する会社法第百二十五条第二項（第一号に係る部分に限る。）</w:t>
      </w:r>
    </w:p>
    <w:p>
      <w:pPr>
        <w:pStyle w:val="Heading6"/>
        <w:ind w:left="880"/>
      </w:pPr>
      <w:r>
        <w:t>三</w:t>
      </w:r>
    </w:p>
    <w:p>
      <w:pPr>
        <w:ind w:left="880"/>
      </w:pPr>
      <w:r>
        <w:t>第三十一条第二項において準用する会社法第二百三十一条第二項（第一号に係る部分に限る。）</w:t>
      </w:r>
    </w:p>
    <w:p>
      <w:pPr>
        <w:pStyle w:val="Heading6"/>
        <w:ind w:left="880"/>
      </w:pPr>
      <w:r>
        <w:t>四</w:t>
      </w:r>
    </w:p>
    <w:p>
      <w:pPr>
        <w:ind w:left="880"/>
      </w:pPr>
      <w:r>
        <w:t>第三十九条第四項（第一号に係る部分に限る。）</w:t>
      </w:r>
    </w:p>
    <w:p>
      <w:pPr>
        <w:pStyle w:val="Heading6"/>
        <w:ind w:left="880"/>
      </w:pPr>
      <w:r>
        <w:t>五</w:t>
      </w:r>
    </w:p>
    <w:p>
      <w:pPr>
        <w:ind w:left="880"/>
      </w:pPr>
      <w:r>
        <w:t>第四十条第二項において準用する会社法第三百十条第七項（第一号に係る部分に限る。）及び第三百十一条第四項</w:t>
      </w:r>
    </w:p>
    <w:p>
      <w:pPr>
        <w:pStyle w:val="Heading6"/>
        <w:ind w:left="880"/>
      </w:pPr>
      <w:r>
        <w:t>六</w:t>
      </w:r>
    </w:p>
    <w:p>
      <w:pPr>
        <w:ind w:left="880"/>
      </w:pPr>
      <w:r>
        <w:t>第四十条第三項において準用する会社法第三百十九条第三項（第一号に係る部分に限る。）</w:t>
      </w:r>
    </w:p>
    <w:p>
      <w:pPr>
        <w:pStyle w:val="Heading4"/>
      </w:pPr>
      <w:r>
        <w:t>第六条（電磁的記録による縦覧等）</w:t>
      </w:r>
    </w:p>
    <w:p>
      <w:r>
        <w:t>民間事業者等が、法第五条第一項の規定に基づき、前条各号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第七条（法第六条第一項の主務省令で定める交付等）</w:t>
      </w:r>
    </w:p>
    <w:p>
      <w:r>
        <w:t>法第六条第一項の主務省令で定める交付等は、優先出資法第二十二条第一項（第二号に係る部分に限る。）及び第三項（第二号に係る部分に限る。）の規定に基づく書面の交付等とする。</w:t>
      </w:r>
    </w:p>
    <w:p>
      <w:pPr>
        <w:pStyle w:val="Heading4"/>
      </w:pPr>
      <w:r>
        <w:t>第八条（電磁的記録による交付等）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第九条（電磁的方法による承諾）</w:t>
      </w:r>
    </w:p>
    <w:p>
      <w:r>
        <w:t>民間事業者等が行う書面の保存等における情報通信の技術の利用に関する法律施行令（平成十七年政令第八号）第二条第一項の規定により示すべき方法の種類及び内容は、次に掲げる事項とする。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この命令は、平成十七年四月一日から施行する。</w:t>
      </w:r>
    </w:p>
    <w:p>
      <w:pPr>
        <w:pStyle w:val="Heading4"/>
      </w:pPr>
      <w:r>
        <w:t>第二条（罰則に関する経過措置）</w:t>
      </w:r>
    </w:p>
    <w:p>
      <w:r>
        <w:t>この命令の施行前にした行為に対する罰則の適用については、なお従前の例による。</w:t>
      </w:r>
    </w:p>
    <w:p>
      <w:r>
        <w:br w:type="page"/>
      </w:r>
    </w:p>
    <w:p>
      <w:pPr>
        <w:pStyle w:val="Heading1"/>
      </w:pPr>
      <w:r>
        <w:t>附　則（平成一八年四月二六日　内閣府・厚生労働省・農林水産省令第一号）</w:t>
      </w:r>
    </w:p>
    <w:p>
      <w:r>
        <w:t>この命令は、会社法（平成十七年法律第八十六号）の施行の日から施行する。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協同組織金融機関の優先出資に関する法律に係る民間事業者等が行う書面の保存等における情報通信の技術の利用に関する命令</w:t>
      <w:br/>
      <w:tab/>
      <w:t>（平成十七年内閣府・厚生労働省・農林水産省令第一号）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協同組織金融機関の優先出資に関する法律に係る民間事業者等が行う書面の保存等における情報通信の技術の利用に関する命令（平成十七年内閣府・厚生労働省・農林水産省令第一号）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