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博物館法施行令</w:t>
        <w:br/>
        <w:t>（昭和二十七年政令第四十七号）</w:t>
      </w:r>
    </w:p>
    <w:p>
      <w:pPr>
        <w:pStyle w:val="Heading4"/>
      </w:pPr>
      <w:r>
        <w:t>第一条（政令で定める法人）</w:t>
      </w:r>
    </w:p>
    <w:p>
      <w:r>
        <w:t>博物館法（以下「法」という。）第二条第一項の政令で定める法人は、次に掲げるものとする。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日本赤十字社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日本放送協会</w:t>
      </w:r>
    </w:p>
    <w:p>
      <w:pPr>
        <w:pStyle w:val="Heading4"/>
      </w:pPr>
      <w:r>
        <w:t>第二条（施設、設備に要する経費の範囲）</w:t>
      </w:r>
    </w:p>
    <w:p>
      <w:r>
        <w:t>法第二十四条第一項に規定する博物館の施設、設備に要する経費の範囲は、次に掲げるものとする。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施設費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設備費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則（昭和三〇年八月二四日政令第一九二号）</w:t>
      </w:r>
    </w:p>
    <w:p>
      <w:r>
        <w:t>この政令は、公布の日から施行し、昭和三十年七月二十二日から適用する。</w:t>
      </w:r>
    </w:p>
    <w:p>
      <w:r>
        <w:br w:type="page"/>
      </w:r>
    </w:p>
    <w:p>
      <w:pPr>
        <w:pStyle w:val="Heading1"/>
      </w:pPr>
      <w:r>
        <w:t>附　則（昭和三一年六月三〇日政令第二二二号）</w:t>
      </w:r>
    </w:p>
    <w:p>
      <w:r>
        <w:t>この政令は、昭和三十一年十月一日から施行する。</w:t>
      </w:r>
    </w:p>
    <w:p>
      <w:r>
        <w:br w:type="page"/>
      </w:r>
    </w:p>
    <w:p>
      <w:pPr>
        <w:pStyle w:val="Heading1"/>
      </w:pPr>
      <w:r>
        <w:t>附　則（昭和三四年四月三〇日政令第一五七号）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博物館法施行令</w:t>
      <w:br/>
      <w:tab/>
      <w:t>（昭和二十七年政令第四十七号）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博物館法施行令（昭和二十七年政令第四十七号）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