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厚生労働省の所管に係る一般会計及び特別会計の歳入について証券をもって納付し得る種目を定める省令</w:t>
        <w:br/>
        <w:t>（平成十二年厚生省・労働省令第七号）</w:t>
      </w:r>
    </w:p>
    <w:p>
      <w:r>
        <w:t>厚生労働省の所管に係る一般会計及び特別会計の歳入は、すべて証券をもって納付することができる。</w:t>
      </w:r>
    </w:p>
    <w:p>
      <w:r>
        <w:br w:type="page"/>
      </w:r>
    </w:p>
    <w:p>
      <w:pPr>
        <w:pStyle w:val="Heading1"/>
      </w:pPr>
      <w:r>
        <w:t>附　則</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厚生労働省の所管に係る一般会計及び特別会計の歳入について証券をもって納付し得る種目を定める省令</w:t>
      <w:br/>
      <w:tab/>
      <w:t>（平成十二年厚生省・労働省令第七号）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厚生労働省の所管に係る一般会計及び特別会計の歳入について証券をもって納付し得る種目を定める省令（平成十二年厚生省・労働省令第七号）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