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厚生労働省国立研究開発法人審議会令</w:t>
        <w:br/>
        <w:t>（平成二十七年政令第百九十四号）</w:t>
      </w:r>
    </w:p>
    <w:p>
      <w:pPr>
        <w:pStyle w:val="Heading4"/>
      </w:pPr>
      <w:r>
        <w:t>第一条（組織）</w:t>
      </w:r>
    </w:p>
    <w:p>
      <w:r>
        <w:t>厚生労働省の国立研究開発法人審議会（以下「審議会」という。）は、委員二十人以内で組織する。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八条において「通則法」という。）第二条第三項に規定する研究開発をいう。次項において同じ。）に関して高い識見を有する者）のうちから、厚生労働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専門委員は、当該専門の事項に関し学識経験のある者（その者が外国人である場合にあっては、当該専門の事項に係る研究開発に関して高い識見を有する者）のうちから、厚生労働大臣が任命する。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Heading6"/>
        <w:ind w:left="880"/>
      </w:pPr>
      <w:r>
        <w:t>一</w:t>
      </w:r>
    </w:p>
    <w:p>
      <w:pPr>
        <w:ind w:left="880"/>
      </w:pPr>
      <w:r>
        <w:t>外国人である委員及び議事に関係のある外国人である臨時委員の数が、委員及び議事に関係のある臨時委員の総数の五分の一を超えないこと。</w:t>
      </w:r>
    </w:p>
    <w:p>
      <w:pPr>
        <w:pStyle w:val="Heading6"/>
        <w:ind w:left="880"/>
      </w:pPr>
      <w:r>
        <w:t>二</w:t>
      </w:r>
    </w:p>
    <w:p>
      <w:pPr>
        <w:ind w:left="880"/>
      </w:pPr>
      <w: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審議会の庶務は、厚生労働省大臣官房厚生科学課において総括し、及び処理する。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r>
        <w:br w:type="page"/>
      </w:r>
    </w:p>
    <w:p>
      <w:pPr>
        <w:pStyle w:val="Heading1"/>
      </w:pPr>
      <w:r>
        <w:t>附　則（平成三一年三月二九日政令第八三号）</w:t>
      </w:r>
    </w:p>
    <w:p>
      <w:pPr>
        <w:pStyle w:val="Heading4"/>
      </w:pPr>
      <w:r>
        <w:t>第一条（施行期日）</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厚生労働省国立研究開発法人審議会令</w:t>
      <w:br/>
      <w:tab/>
      <w:t>（平成二十七年政令第百九十四号）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厚生労働省国立研究開発法人審議会令（平成二十七年政令第百九十四号）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