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厚生労働省聴聞手続規則</w:t>
        <w:br/>
        <w:t>（平成十二年厚生省・労働省令第二号）</w:t>
      </w:r>
    </w:p>
    <w:p>
      <w:pPr>
        <w:pStyle w:val="Heading4"/>
      </w:pPr>
      <w:r>
        <w:t>第一条（趣旨）</w:t>
      </w:r>
    </w:p>
    <w:p>
      <w:r>
        <w:t>厚生労働大臣、職業安定局長、国立障害者リハビリテーションセンターの長、地方厚生局長、地方厚生支局長、都道府県労働局長、労働基準監督署長、労働基準監督官又は公共職業安定所長（以下「行政庁」という。）が行う不利益処分に係る聴聞の手続については、他の法令に特別の定めがある場合を除くほか、この省令の定めるところによる。</w:t>
      </w:r>
    </w:p>
    <w:p>
      <w:pPr>
        <w:pStyle w:val="Heading4"/>
      </w:pPr>
      <w:r>
        <w:t>第二条（用語）</w:t>
      </w:r>
    </w:p>
    <w:p>
      <w:r>
        <w:t>この省令において使用する用語は、行政手続法（以下「法」という。）において使用する用語の例による。</w:t>
      </w:r>
    </w:p>
    <w:p>
      <w:pPr>
        <w:pStyle w:val="Heading4"/>
      </w:pPr>
      <w:r>
        <w:t>第三条（参考人）</w:t>
      </w:r>
    </w:p>
    <w:p>
      <w:r>
        <w:t>主宰者は、必要があると認めるときは、行政庁の職員、学識経験のある者その他の参考人に対し、聴聞に関する手続に参加することを求めることができる。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場合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に通知しなければならない。</w:t>
      </w:r>
    </w:p>
    <w:p>
      <w:pPr>
        <w:pStyle w:val="Heading4"/>
      </w:pPr>
      <w:r>
        <w:t>第五条（関係人の参加の許可）</w:t>
      </w:r>
    </w:p>
    <w:p>
      <w:r>
        <w:t>法第十七条第一項の規定による許可の申請については、関係人は、聴聞の期日の十四日前までに、その氏名及び住所並びに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主宰者は、その参加を許可したときは、速やかに、その旨を当該関係人に通知しなければならない。</w:t>
      </w:r>
    </w:p>
    <w:p>
      <w:pPr>
        <w:pStyle w:val="Heading4"/>
      </w:pPr>
      <w:r>
        <w:t>第六条（文書等の閲覧）</w:t>
      </w:r>
    </w:p>
    <w:p>
      <w:r>
        <w:t>法第十八条第一項の規定による閲覧の求めについては、当事者又は当該不利益処分がされた場合に自己の利益が害されることとなる参加人（以下この条において「当事者等」という。）は、その氏名及び住所並びに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第七条（主宰者の指名）</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第八条（補佐人の出頭の許可）</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第九条（聴聞の期日における陳述等の制限及び秩序の維持）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行政庁は、法第二十条第六項の規定により聴聞の期日における審理の公開を相当と認めたときは、聴聞の期日及び場所を公示するものとする。</w:t>
      </w:r>
    </w:p>
    <w:p>
      <w:pPr>
        <w:pStyle w:val="Heading4"/>
      </w:pPr>
      <w:r>
        <w:t>第十一条（陳述書の提出の方法）</w:t>
      </w:r>
    </w:p>
    <w:p>
      <w:r>
        <w:t>法第二十一条第一項の規定による陳述書の提出は、提出する者の氏名及び住所、聴聞の件名、当該聴聞に係る不利益処分の原因となる事実並びに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又はこれらの者の代理人若しくは補佐人（以下この条において「当事者等」という。）並びに参考人（行政庁の職員であるものを除く。）の氏名及び住所並びに行政庁の職員の氏名及び職名</w:t>
      </w:r>
    </w:p>
    <w:p>
      <w:pPr>
        <w:pStyle w:val="Heading6"/>
        <w:ind w:left="880"/>
      </w:pPr>
      <w:r>
        <w:t>五</w:t>
      </w:r>
    </w:p>
    <w:p>
      <w:pPr>
        <w:ind w:left="880"/>
      </w:pPr>
      <w:r>
        <w:t>聴聞の期日に出頭しなかった当事者等の氏名及び住所並びに当該当事者等のうち当事者及びその代理人については、出頭しなかったことについての正当な理由の有無</w:t>
      </w:r>
    </w:p>
    <w:p>
      <w:pPr>
        <w:pStyle w:val="Heading6"/>
        <w:ind w:left="880"/>
      </w:pPr>
      <w:r>
        <w:t>六</w:t>
      </w:r>
    </w:p>
    <w:p>
      <w:pPr>
        <w:ind w:left="880"/>
      </w:pPr>
      <w:r>
        <w:t>当事者等、行政庁の職員及び参考人の陳述（提出された陳述書における意見の陳述を含む。）の要旨</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第十三条（聴聞調書及び報告書の閲覧）</w:t>
      </w:r>
    </w:p>
    <w:p>
      <w:r>
        <w:t>法第二十四条第四項の規定による閲覧の求めについては、当事者又は参加人は、その氏名及び住所並びに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厚生労働省聴聞手続規則</w:t>
      <w:br/>
      <w:tab/>
      <w:t>（平成十二年厚生省・労働省令第二号）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厚生労働省聴聞手続規則（平成十二年厚生省・労働省令第二号）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