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原子力発電施設等立地地域の振興に関する特別措置法施行令第六条第三項の人口一人当たりの工業付加価値額等の算定に関する省令</w:t>
        <w:br/>
        <w:t>（平成十八年経済産業省令第四十五号）</w:t>
      </w:r>
    </w:p>
    <w:p>
      <w:pPr>
        <w:pStyle w:val="Heading4"/>
      </w:pPr>
      <w:r>
        <w:t>第一条（人口一人当たりの工業付加価値額）</w:t>
      </w:r>
    </w:p>
    <w:p>
      <w:r>
        <w:t>原子力発電施設等立地地域の振興に関する特別措置法施行令（以下「施行令」という。）第六条第三項の人口一人当たりの工業付加価値額は、次の式により算定するものとする。</w:t>
      </w:r>
    </w:p>
    <w:p>
      <w:pPr>
        <w:pStyle w:val="Heading4"/>
      </w:pPr>
      <w:r>
        <w:t>第二条（可住地面積一平方キロメートル当たりの工業出荷額）</w:t>
      </w:r>
    </w:p>
    <w:p>
      <w:r>
        <w:t>施行令第六条第三項の可住地面積一平方キロメートル当たりの工業出荷額は、次の式により算定するものとする。</w:t>
      </w:r>
    </w:p>
    <w:p>
      <w:r>
        <w:br w:type="page"/>
      </w:r>
    </w:p>
    <w:p>
      <w:pPr>
        <w:pStyle w:val="Heading1"/>
      </w:pPr>
      <w:r>
        <w:t>附　則</w:t>
      </w:r>
    </w:p>
    <w:p>
      <w:r>
        <w:t>この省令は、工業再配置促進法を廃止する法律の施行に伴う関係政令の整備等に関する政令（平成十八年政令第百七十八号）の施行の日から施行する。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原子力発電施設等立地地域の振興に関する特別措置法施行令第六条第三項の人口一人当たりの工業付加価値額等の算定に関する省令</w:t>
      <w:br/>
      <w:tab/>
      <w:t>（平成十八年経済産業省令第四十五号）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原子力発電施設等立地地域の振興に関する特別措置法施行令第六条第三項の人口一人当たりの工業付加価値額等の算定に関する省令（平成十八年経済産業省令第四十五号）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