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原子力発電環境整備機構の財務及び会計に関する省令</w:t>
        <w:br/>
        <w:t>（平成十二年通商産業省令第百五十三号）</w:t>
      </w:r>
    </w:p>
    <w:p>
      <w:pPr>
        <w:pStyle w:val="Heading4"/>
      </w:pPr>
      <w:r>
        <w:t>第一条（経理原則）</w:t>
      </w:r>
    </w:p>
    <w:p>
      <w:r>
        <w:t>原子力発電環境整備機構（以下「機構」という。）は、その事業の財政状態及び経営成績を明らかにするため、財産の増減及び異動並びに収益及び費用をその発生の事実に基づいて経理しなければならない。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機構は、次に掲げるところにより経理を区分し、それぞれについて貸借対照表勘定及び損益勘定を設けて経理するものとする。</w:t>
      </w:r>
    </w:p>
    <w:p>
      <w:pPr>
        <w:pStyle w:val="Heading6"/>
        <w:ind w:left="880"/>
      </w:pPr>
      <w:r>
        <w:t>一</w:t>
      </w:r>
    </w:p>
    <w:p>
      <w:pPr>
        <w:ind w:left="880"/>
      </w:pPr>
      <w:r>
        <w:t>特定放射性廃棄物の最終処分に関する法律（以下「法」という。）第五十六条第一項第一号に掲げる業務に係る経理</w:t>
      </w:r>
    </w:p>
    <w:p>
      <w:pPr>
        <w:pStyle w:val="Heading6"/>
        <w:ind w:left="880"/>
      </w:pPr>
      <w:r>
        <w:t>二</w:t>
      </w:r>
    </w:p>
    <w:p>
      <w:pPr>
        <w:ind w:left="880"/>
      </w:pPr>
      <w:r>
        <w:t>法第五十六条第一項第二号に掲げる業務に係る経理</w:t>
      </w:r>
    </w:p>
    <w:p>
      <w:pPr>
        <w:pStyle w:val="Heading6"/>
        <w:ind w:left="880"/>
      </w:pPr>
      <w:r>
        <w:t>三</w:t>
      </w:r>
    </w:p>
    <w:p>
      <w:pPr>
        <w:ind w:left="880"/>
      </w:pPr>
      <w:r>
        <w:t>法第五十六条第二項に掲げる業務に係る経理</w:t>
      </w:r>
    </w:p>
    <w:p>
      <w:pPr>
        <w:pStyle w:val="Heading6"/>
        <w:ind w:left="880"/>
      </w:pPr>
      <w:r>
        <w:t>四</w:t>
      </w:r>
    </w:p>
    <w:p>
      <w:pPr>
        <w:ind w:left="880"/>
      </w:pPr>
      <w:r>
        <w:t>その他の経理</w:t>
      </w:r>
    </w:p>
    <w:p>
      <w:pPr>
        <w:pStyle w:val="Heading5"/>
        <w:ind w:left="440"/>
      </w:pPr>
      <w:r>
        <w:t>３</w:t>
      </w:r>
    </w:p>
    <w:p>
      <w:pPr>
        <w:ind w:left="440"/>
      </w:pPr>
      <w:r>
        <w:t>機構は、前項の規定により区分して経理す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経済産業大臣に提出する基準に従って、事業年度の期間中一括して経理をし、当該事業年度の末日現在において各勘定に配分することにより経理をすることができ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第九条第一項ただし書の規定による経費の指定</w:t>
      </w:r>
    </w:p>
    <w:p>
      <w:pPr>
        <w:pStyle w:val="Heading6"/>
        <w:ind w:left="880"/>
      </w:pPr>
      <w:r>
        <w:t>四</w:t>
      </w:r>
    </w:p>
    <w:p>
      <w:pPr>
        <w:ind w:left="880"/>
      </w:pPr>
      <w:r>
        <w:t>長期借入金及び短期借入金の借入限度額</w:t>
      </w:r>
    </w:p>
    <w:p>
      <w:pPr>
        <w:pStyle w:val="Heading6"/>
        <w:ind w:left="880"/>
      </w:pPr>
      <w:r>
        <w:t>五</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機構は、予備費を使用したときは、速やかに、使用の理由、金額及び積算の基礎を明らかにした書類を経済産業大臣に提出しなければならない。</w:t>
      </w:r>
    </w:p>
    <w:p>
      <w:pPr>
        <w:pStyle w:val="Heading4"/>
      </w:pPr>
      <w:r>
        <w:t>第七条（債務を負担する行為）</w:t>
      </w:r>
    </w:p>
    <w:p>
      <w:r>
        <w:t>機構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機構は、支出予算については、当該予算に定める目的のほかに使用してはならない。</w:t>
      </w:r>
    </w:p>
    <w:p>
      <w:pPr>
        <w:pStyle w:val="Heading5"/>
        <w:ind w:left="440"/>
      </w:pPr>
      <w:r>
        <w:t>２</w:t>
      </w:r>
    </w:p>
    <w:p>
      <w:pPr>
        <w:ind w:left="440"/>
      </w:pPr>
      <w:r>
        <w:t>機構は、予算総則で指定する経費の金額については、経済産業大臣の承認を受けなければ、それらの経費の間又は他の経費との間に相互流用し、又はこれに予備費を使用することができない。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予算の流用又は予備費の使用について経済産業大臣の承認を受けようとするときは、流用又は使用の理由、金額及び積算の基礎を明らかにした書類を経済産業大臣に提出しなければならない。</w:t>
      </w:r>
    </w:p>
    <w:p>
      <w:pPr>
        <w:pStyle w:val="Heading4"/>
      </w:pPr>
      <w:r>
        <w:t>第九条（支出予算の繰越し）</w:t>
      </w:r>
    </w:p>
    <w:p>
      <w:r>
        <w:t>機構は、支出予算の経費の金額のうち、当該事業年度内に支出決定を終わらなかったものについて、予算の実施上必要があるときは、これを翌事業年度に繰り越して使用することができる。</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機構は、前項ただし書の規定による承認を受けようとするときは、当該事業年度末までに、事項ごとに、繰越しを必要とする理由及び金額を明らかにした書類を経済産業大臣に提出しなければならない。</w:t>
      </w:r>
    </w:p>
    <w:p>
      <w:pPr>
        <w:pStyle w:val="Heading5"/>
        <w:ind w:left="440"/>
      </w:pPr>
      <w:r>
        <w:t>３</w:t>
      </w:r>
    </w:p>
    <w:p>
      <w:pPr>
        <w:ind w:left="440"/>
      </w:pPr>
      <w:r>
        <w:t>機構は、第一項の規定による繰越しをしたときは、翌事業年度の五月三十一日までに、繰越計算書を経済産業大臣に提出しなければならない。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第十条（事業計画）</w:t>
      </w:r>
    </w:p>
    <w:p>
      <w:r>
        <w:t>法第六十四条の事業計画には、次の事項に関する計画を記載しなければならない。</w:t>
      </w:r>
    </w:p>
    <w:p>
      <w:pPr>
        <w:pStyle w:val="Heading6"/>
        <w:ind w:left="880"/>
      </w:pPr>
      <w:r>
        <w:t>一</w:t>
      </w:r>
    </w:p>
    <w:p>
      <w:pPr>
        <w:ind w:left="880"/>
      </w:pPr>
      <w:r>
        <w:t>法第五十六条第一項第一号に規定する第一種特定放射性廃棄物に係る次の事項</w:t>
      </w:r>
    </w:p>
    <w:p>
      <w:pPr>
        <w:pStyle w:val="Heading6"/>
        <w:ind w:left="880"/>
      </w:pPr>
      <w:r>
        <w:t>二</w:t>
      </w:r>
    </w:p>
    <w:p>
      <w:pPr>
        <w:ind w:left="880"/>
      </w:pPr>
      <w:r>
        <w:t>法第五十六条第一項第二号に規定する第二種特定放射性廃棄物に係る次の事項</w:t>
      </w:r>
    </w:p>
    <w:p>
      <w:pPr>
        <w:pStyle w:val="Heading6"/>
        <w:ind w:left="880"/>
      </w:pPr>
      <w:r>
        <w:t>三</w:t>
      </w:r>
    </w:p>
    <w:p>
      <w:pPr>
        <w:ind w:left="880"/>
      </w:pPr>
      <w:r>
        <w:t>法第五十六条第二項に規定する委託を受けて行う業務に関する事項</w:t>
      </w:r>
    </w:p>
    <w:p>
      <w:pPr>
        <w:pStyle w:val="Heading6"/>
        <w:ind w:left="880"/>
      </w:pPr>
      <w:r>
        <w:t>四</w:t>
      </w:r>
    </w:p>
    <w:p>
      <w:pPr>
        <w:ind w:left="880"/>
      </w:pPr>
      <w:r>
        <w:t>その他必要な事項</w:t>
      </w:r>
    </w:p>
    <w:p>
      <w:pPr>
        <w:pStyle w:val="Heading4"/>
      </w:pPr>
      <w:r>
        <w:t>第十一条（資金計画）</w:t>
      </w:r>
    </w:p>
    <w:p>
      <w:r>
        <w:t>法第六十四条の資金計画には、次の事項に関する計画を記載しなければならない。</w:t>
      </w:r>
    </w:p>
    <w:p>
      <w:pPr>
        <w:pStyle w:val="Heading6"/>
        <w:ind w:left="880"/>
      </w:pPr>
      <w:r>
        <w:t>一</w:t>
      </w:r>
    </w:p>
    <w:p>
      <w:pPr>
        <w:ind w:left="880"/>
      </w:pPr>
      <w:r>
        <w:t>資金調達の方法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4"/>
      </w:pPr>
      <w:r>
        <w:t>第十二条（予算、事業計画及び資金計画の認可の申請）</w:t>
      </w:r>
    </w:p>
    <w:p>
      <w:r>
        <w:t>機構は、法第六十四条前段の認可を受けようとするときは、毎事業年度開始前に（機構の成立の日の属する事業年度にあっては、成立後遅滞なく）、申請書に次に掲げる書類を添えて経済産業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その他当該予算、事業計画及び資金計画の参考となる書類</w:t>
      </w:r>
    </w:p>
    <w:p>
      <w:pPr>
        <w:pStyle w:val="Heading5"/>
        <w:ind w:left="440"/>
      </w:pPr>
      <w:r>
        <w:t>２</w:t>
      </w:r>
    </w:p>
    <w:p>
      <w:pPr>
        <w:ind w:left="440"/>
      </w:pPr>
      <w:r>
        <w:t>機構は、法第六十四条後段の変更の認可を受けようとするときは、変更しようとする事項及びその理由を記載した申請書を経済産業大臣に提出しなければならない。</w:t>
      </w:r>
    </w:p>
    <w:p>
      <w:pPr>
        <w:pStyle w:val="Heading4"/>
      </w:pPr>
      <w:r>
        <w:t>第十三条（収入支出等の報告）</w:t>
      </w:r>
    </w:p>
    <w:p>
      <w:r>
        <w:t>機構は、事業年度の各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第十四条（事業報告書）</w:t>
      </w:r>
    </w:p>
    <w:p>
      <w:r>
        <w:t>法第六十五条第二項の事業報告書には、第十条の事業計画及び第十一条の資金計画の実施の結果を記載しなければならない。</w:t>
      </w:r>
    </w:p>
    <w:p>
      <w:pPr>
        <w:pStyle w:val="Heading4"/>
      </w:pPr>
      <w:r>
        <w:t>第十五条（決算報告書）</w:t>
      </w:r>
    </w:p>
    <w:p>
      <w:r>
        <w:t>法第六十五条第二項の決算報告書は、収入支出決算書及び債務に関する計算書とする。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第十五条第一項の債務に関する計算書には、第七条の規定により負担した債務の金額を事項ごとに示さなければならない。</w:t>
      </w:r>
    </w:p>
    <w:p>
      <w:pPr>
        <w:pStyle w:val="Heading4"/>
      </w:pPr>
      <w:r>
        <w:t>第十八条（借入金の認可）</w:t>
      </w:r>
    </w:p>
    <w:p>
      <w:r>
        <w:t>機構は、法第六十七条第一項の規定により長期借入金若しくは短期借入金の借入れの認可を受けようとするとき、又は同条第二項ただし書の規定により短期借入金の借換えの認可を受けようとするときは、次の事項を記載した申請書を経済産業大臣に提出しなければならない。</w:t>
      </w:r>
    </w:p>
    <w:p>
      <w:pPr>
        <w:pStyle w:val="Heading6"/>
        <w:ind w:left="880"/>
      </w:pPr>
      <w:r>
        <w:t>一</w:t>
      </w:r>
    </w:p>
    <w:p>
      <w:pPr>
        <w:ind w:left="880"/>
      </w:pPr>
      <w:r>
        <w:t>借入を必要とする理由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第十九条（会計規程）</w:t>
      </w:r>
    </w:p>
    <w:p>
      <w:r>
        <w:t>機構は、その財務及び会計に関し、会計規程を定めなければならない。</w:t>
      </w:r>
    </w:p>
    <w:p>
      <w:pPr>
        <w:pStyle w:val="Heading5"/>
        <w:ind w:left="440"/>
      </w:pPr>
      <w:r>
        <w:t>２</w:t>
      </w:r>
    </w:p>
    <w:p>
      <w:pPr>
        <w:ind w:left="440"/>
      </w:pPr>
      <w:r>
        <w:t>機構は、前項の会計規程を定めようとするときは、経済産業大臣の承認を受けなければならない。</w:t>
      </w:r>
    </w:p>
    <w:p>
      <w:r>
        <w:br w:type="page"/>
      </w:r>
    </w:p>
    <w:p>
      <w:pPr>
        <w:pStyle w:val="Heading1"/>
      </w:pPr>
      <w:r>
        <w:t>附　則</w:t>
      </w:r>
    </w:p>
    <w:p>
      <w:pPr>
        <w:pStyle w:val="Heading4"/>
      </w:pPr>
      <w:r>
        <w:t>第一条（施行期日）</w:t>
      </w:r>
    </w:p>
    <w:p>
      <w:r>
        <w:t>この省令は、法附則第一条第二号に掲げる規定の施行の日（平成十二年九月一日）から施行する。</w:t>
      </w:r>
    </w:p>
    <w:p>
      <w:pPr>
        <w:pStyle w:val="Heading6"/>
        <w:ind w:left="880"/>
      </w:pPr>
      <w:r>
        <w:t>一</w:t>
      </w:r>
    </w:p>
    <w:p>
      <w:pPr>
        <w:ind w:left="880"/>
      </w:pPr>
      <w:r>
        <w:t>第十条第一号ハ及びニ、同条第二号ハ及びニ並びに同条第三号（法第五十六条第二項第一号に規定する委託を受けて行う業務に係る部分に限る。）の規定</w:t>
      </w:r>
    </w:p>
    <w:p>
      <w:pPr>
        <w:pStyle w:val="Heading6"/>
        <w:ind w:left="880"/>
      </w:pPr>
      <w:r>
        <w:t>二</w:t>
      </w:r>
    </w:p>
    <w:p>
      <w:pPr>
        <w:ind w:left="880"/>
      </w:pPr>
      <w:r>
        <w:t>附則第二条の規定</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原子力発電環境整備機構の財務及び会計に関する省令</w:t>
      <w:br/>
      <w:tab/>
      <w:t>（平成十二年通商産業省令第百五十三号）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原子力発電環境整備機構の財務及び会計に関する省令（平成十二年通商産業省令第百五十三号）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