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原子力規制委員会の所管する法令に係る民間事業者等が行う書面の保存等における情報通信の技術の利用に関する法律施行規則</w:t>
        <w:br/>
        <w:t>（平成二十四年原子力規制委員会規則第三号）</w:t>
      </w:r>
    </w:p>
    <w:p>
      <w:pPr>
        <w:pStyle w:val="Heading4"/>
      </w:pPr>
      <w:r>
        <w:t>第一条（趣旨）</w:t>
      </w:r>
    </w:p>
    <w:p>
      <w:r>
        <w:t>民間事業者等が、原子力規制委員会の所管する法令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法第三条第一項の主務省令で定める保存は、別表第一の上覧に掲げる法令の同表の下欄に掲げる規定に基づく書面の保存とする。</w:t>
      </w:r>
    </w:p>
    <w:p>
      <w:pPr>
        <w:pStyle w:val="Heading4"/>
      </w:pPr>
      <w:r>
        <w:t>第四条（電磁的記録による保存）</w:t>
      </w:r>
    </w:p>
    <w:p>
      <w:r>
        <w:t>民間事業者等が、法第三条第一項の規定に基づき、別表第一の上覧に掲げる法令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民間事業者等が、第一項の規定に基づく電磁的記録の保存を行う場合のうち、核原料物質、核燃料物質及び原子炉の規制に関する法律（昭和三十二年法律第百六十六号）第十一条の規定に基づく書面の保存に代えて、当該書面に係る電磁的記録の保存を行う場合は、原子力規制委員会が定める基準を確保するよう努めなければならない。</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上欄に掲げる法令の同表の下欄に掲げる規定による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前条第一項各号に掲げる方法のうち民間事業者等が使用するもの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この規則は、原子力規制委員会設置法（平成二十四年法律第四十七号）の施行の日（平成二十四年九月十九日）から施行する。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則（平成二六年六月一一日原子力規制委員会規則第二号）</w:t>
      </w:r>
    </w:p>
    <w:p>
      <w:r>
        <w:t>この規則は、公布の日から施行する。</w:t>
      </w:r>
    </w:p>
    <w:p>
      <w:r>
        <w:br w:type="page"/>
      </w:r>
    </w:p>
    <w:p>
      <w:pPr>
        <w:pStyle w:val="Heading1"/>
      </w:pPr>
      <w:r>
        <w:t>附　則（令和元年六月一〇日原子力規制委員会規則第一号）</w:t>
      </w:r>
    </w:p>
    <w:p>
      <w:r>
        <w:t>この規則は、原子力利用における安全対策の強化のための核原料物質、核燃料物質及び原子炉の規制に関する法律等の一部を改正する法律附則第一条本文に掲げる規定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原子力規制委員会の所管する法令に係る民間事業者等が行う書面の保存等における情報通信の技術の利用に関する法律施行規則</w:t>
      <w:br/>
      <w:tab/>
      <w:t>（平成二十四年原子力規制委員会規則第三号）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原子力規制委員会の所管する法令に係る民間事業者等が行う書面の保存等における情報通信の技術の利用に関する法律施行規則（平成二十四年原子力規制委員会規則第三号）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