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原子力規制委員会の所管する法令に係る民間事業者等が行う書面の保存等における情報通信の技術の利用に関する法律施行規則</w:t>
        <w:br/>
        <w:t>（平成二十四年原子力規制委員会規則第三号）</w:t>
      </w:r>
    </w:p>
    <w:p>
      <w:pPr>
        <w:pStyle w:val="Heading4"/>
      </w:pPr>
      <w:r>
        <w:t>第一条（趣旨）</w:t>
      </w:r>
    </w:p>
    <w:p>
      <w:r>
        <w:t>民間事業者等が、原子力規制委員会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法第三条第一項の主務省令で定める保存は、別表第一の上覧に掲げる法令の同表の下欄に掲げる規定に基づく書面の保存とする。</w:t>
      </w:r>
    </w:p>
    <w:p>
      <w:pPr>
        <w:pStyle w:val="Heading4"/>
      </w:pPr>
      <w:r>
        <w:t>第四条（電磁的記録による保存）</w:t>
      </w:r>
    </w:p>
    <w:p>
      <w:r>
        <w:t>民間事業者等が、法第三条第一項の規定に基づき、別表第一の上覧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く電磁的記録の保存を行う場合のうち、核原料物質、核燃料物質及び原子炉の規制に関する法律（昭和三十二年法律第百六十六号）第十一条の規定に基づく書面の保存に代えて、当該書面に係る電磁的記録の保存を行う場合は、原子力規制委員会が定める基準を確保するよう努めなければならない。</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この規則は、原子力規制委員会設置法（平成二十四年法律第四十七号）の施行の日（平成二十四年九月十九日）から施行する。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附則（平成二六年六月一一日原子力規制委員会規則第二号）</w:t>
      </w:r>
    </w:p>
    <w:p>
      <w:r>
        <w:t>この規則は、公布の日から施行する。</w:t>
      </w:r>
    </w:p>
    <w:p>
      <w:r>
        <w:br w:type="page"/>
      </w:r>
    </w:p>
    <w:p>
      <w:pPr>
        <w:pStyle w:val="Heading1"/>
      </w:pPr>
      <w:r>
        <w:t>附則（令和元年六月一〇日原子力規制委員会規則第一号）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原子力規制委員会の所管する法令に係る民間事業者等が行う書面の保存等における情報通信の技術の利用に関する法律施行規則</w:t>
      <w:br/>
      <w:tab/>
      <w:t>（平成二十四年原子力規制委員会規則第三号）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原子力規制委員会の所管する法令に係る民間事業者等が行う書面の保存等における情報通信の技術の利用に関する法律施行規則（平成二十四年原子力規制委員会規則第三号）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