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原子力防災会議令</w:t>
        <w:br/>
        <w:t>（平成二十四年政令第二百三十四号）</w:t>
      </w:r>
    </w:p>
    <w:p>
      <w:pPr>
        <w:pStyle w:val="Heading4"/>
      </w:pPr>
      <w:r>
        <w:t>第一条（議長）</w:t>
      </w:r>
    </w:p>
    <w:p>
      <w:r>
        <w:t>議長は、会務を総理する。</w:t>
      </w:r>
    </w:p>
    <w:p>
      <w:pPr>
        <w:pStyle w:val="Heading4"/>
      </w:pPr>
      <w:r>
        <w:t>第二条（副議長）</w:t>
      </w:r>
    </w:p>
    <w:p>
      <w:r>
        <w:t>副議長は、議長を助ける。</w:t>
      </w:r>
    </w:p>
    <w:p>
      <w:pPr>
        <w:pStyle w:val="Heading4"/>
      </w:pPr>
      <w:r>
        <w:t>第三条（事務局次長）</w:t>
      </w:r>
    </w:p>
    <w:p>
      <w:r>
        <w:t>原子力防災会議（以下「会議」という。）の事務局（以下「事務局」という。）に、事務局次長二人以内を置く。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事務局次長は、関係のある他の職を占める者をもって充てられるものとする。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事務局次長は、事務局長を助け、局務を整理する。</w:t>
      </w:r>
    </w:p>
    <w:p>
      <w:pPr>
        <w:pStyle w:val="Heading4"/>
      </w:pPr>
      <w:r>
        <w:t>第四条（審議官）</w:t>
      </w:r>
    </w:p>
    <w:p>
      <w:r>
        <w:t>事務局に、審議官二人以内を置く。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審議官は、関係のある他の職を占める者をもって充てられるものとする。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審議官は、命を受けて、局務に関する重要事項についての企画及び立案に参画し、関係事務を総括整理する。</w:t>
      </w:r>
    </w:p>
    <w:p>
      <w:pPr>
        <w:pStyle w:val="Heading4"/>
      </w:pPr>
      <w:r>
        <w:t>第五条（参事官）</w:t>
      </w:r>
    </w:p>
    <w:p>
      <w:r>
        <w:t>事務局に、参事官八人以内を置く。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参事官は、関係のある他の職を占める者をもって充てられるものとする。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参事官は、命を受けて、局務を分掌し、又は局務に関する重要事項の審議に参画する。</w:t>
      </w:r>
    </w:p>
    <w:p>
      <w:pPr>
        <w:pStyle w:val="Heading4"/>
      </w:pPr>
      <w:r>
        <w:t>第六条（会議の組織の細目）</w:t>
      </w:r>
    </w:p>
    <w:p>
      <w:r>
        <w:t>この政令に定めるもののほか、会議の組織に関し必要な細目は、内閣総理大臣が定める。</w:t>
      </w:r>
    </w:p>
    <w:p>
      <w:pPr>
        <w:pStyle w:val="Heading4"/>
      </w:pPr>
      <w:r>
        <w:t>第七条（会議の運営）</w:t>
      </w:r>
    </w:p>
    <w:p>
      <w:r>
        <w:t>この政令に定めるもののほか、会議の運営に関し必要な事項は、議長が会議に諮って定める。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この政令は、原子力規制委員会設置法（平成二十四年法律第四十七号）の施行の日（平成二十四年九月十九日）から施行する。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原子力防災会議令</w:t>
      <w:br/>
      <w:tab/>
      <w:t>（平成二十四年政令第二百三十四号）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原子力防災会議令（平成二十四年政令第二百三十四号）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