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各種勲章及び大勲位菊花章頸飾の制式及び形状を定める内閣府令</w:t>
        <w:br/>
        <w:t>（平成十五年内閣府令第五十四号）</w:t>
      </w:r>
    </w:p>
    <w:p>
      <w:pPr>
        <w:pStyle w:val="Heading4"/>
      </w:pPr>
      <w:r>
        <w:t>第一条（旭日章の制式及び形状）</w:t>
      </w:r>
    </w:p>
    <w:p>
      <w:r>
        <w:t>旭日章、その副章及びその略綬の制式及び形状は、次の表及び図のとおりとする。</w:t>
      </w:r>
    </w:p>
    <w:p>
      <w:pPr>
        <w:pStyle w:val="Heading4"/>
      </w:pPr>
      <w:r>
        <w:t>第二条（瑞宝章の制式及び形状）</w:t>
      </w:r>
    </w:p>
    <w:p>
      <w:r>
        <w:t>瑞宝章、その副章及びその略綬の制式及び形状は、次の表及び図のとおりとする。</w:t>
      </w:r>
    </w:p>
    <w:p>
      <w:pPr>
        <w:pStyle w:val="Heading4"/>
      </w:pPr>
      <w:r>
        <w:t>第三条（桐花大綬章の制式及び形状）</w:t>
      </w:r>
    </w:p>
    <w:p>
      <w:r>
        <w:t>桐花大綬章、その副章及びその略綬の制式及び形状は、次の表及び図のとおりとする。</w:t>
      </w:r>
    </w:p>
    <w:p>
      <w:pPr>
        <w:pStyle w:val="Heading4"/>
      </w:pPr>
      <w:r>
        <w:t>第四条（大勲位菊花大綬章の制式及び形状）</w:t>
      </w:r>
    </w:p>
    <w:p>
      <w:r>
        <w:t>大勲位菊花大綬章、その副章及びその略綬の制式及び形状は、次の表及び図のとおりとする。</w:t>
      </w:r>
    </w:p>
    <w:p>
      <w:pPr>
        <w:pStyle w:val="Heading4"/>
      </w:pPr>
      <w:r>
        <w:t>第五条（宝冠章の制式及び形状）</w:t>
      </w:r>
    </w:p>
    <w:p>
      <w:r>
        <w:t>宝冠章、その副章及びその略綬の制式及び形状は、次の表及び図のとおりとする。</w:t>
      </w:r>
    </w:p>
    <w:p>
      <w:pPr>
        <w:pStyle w:val="Heading4"/>
      </w:pPr>
      <w:r>
        <w:t>第六条（大勲位菊花章頸飾の制式及び形状）</w:t>
      </w:r>
    </w:p>
    <w:p>
      <w:r>
        <w:t>大勲位菊花章頸飾の制式及び形状は、次の表及び図のとおりとする。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この府令は、平成十五年十一月三日から施行し、同日以降の日付をもって授与される勲章から適用する。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各種勲章及び大勲位菊花章頸飾の図様（明治二十一年閣令第二十一号）は、廃止する。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各種勲章及び大勲位菊花章頸飾の制式及び形状を定める内閣府令</w:t>
      <w:br/>
      <w:tab/>
      <w:t>（平成十五年内閣府令第五十四号）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各種勲章及び大勲位菊花章頸飾の制式及び形状を定める内閣府令（平成十五年内閣府令第五十四号）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