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商品投資に係る事業の規制に関する法律第三十七条において準用する同法第三十条第一項の規定による立入検査をする職員の携帯する身分を示す証明書の様式を定める命令</w:t>
        <w:br/>
        <w:t>（平成十九年内閣府・農林水産省・経済産業省令第一号）</w:t>
      </w:r>
    </w:p>
    <w:p>
      <w:r>
        <w:t>商品投資に係る事業の規制に関する法律第三十七条において準用する同法第三十条第一項の規定による立入検査をする職員の携帯する身分を示す証明書は、別紙様式によるものとする。</w:t>
      </w:r>
    </w:p>
    <w:p>
      <w:r>
        <w:br w:type="page"/>
      </w:r>
    </w:p>
    <w:p>
      <w:pPr>
        <w:pStyle w:val="Heading1"/>
      </w:pPr>
      <w:r>
        <w:t>附　則</w:t>
      </w:r>
    </w:p>
    <w:p>
      <w:r>
        <w:t>この命令は、証券取引法等の一部を改正する法律の施行に伴う関係法律の整備等に関する法律（平成十八年法律第六十六号）の施行の日から施行する。</w:t>
      </w:r>
    </w:p>
    <w:p>
      <w:r>
        <w:br w:type="page"/>
      </w:r>
    </w:p>
    <w:p>
      <w:pPr>
        <w:pStyle w:val="Heading1"/>
      </w:pPr>
      <w:r>
        <w:t>附　則（令和元年六月二四日内閣府・農林水産省・経済産業省令第一号）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商品投資に係る事業の規制に関する法律第三十七条において準用する同法第三十条第一項の規定による立入検査をする職員の携帯する身分を示す証明書の様式を定める命令</w:t>
      <w:br/>
      <w:tab/>
      <w:t>（平成十九年内閣府・農林水産省・経済産業省令第一号）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投資に係る事業の規制に関する法律第三十七条において準用する同法第三十条第一項の規定による立入検査をする職員の携帯する身分を示す証明書の様式を定める命令（平成十九年内閣府・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