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図書館法施行令</w:t>
        <w:br/>
        <w:t>（昭和三十四年政令第百五十八号）</w:t>
      </w:r>
    </w:p>
    <w:p>
      <w:r>
        <w:t>図書館法第二十条第一項に規定する図書館の施設、設備に要する経費の範囲は、次に掲げるものとする。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施設費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設備費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図書館法施行令</w:t>
      <w:br/>
      <w:tab/>
      <w:t>（昭和三十四年政令第百五十八号）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図書館法施行令（昭和三十四年政令第百五十八号）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