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国の会計帳簿及び書類の様式等に関する省令</w:t>
        <w:br/>
        <w:t>（大正十一年大蔵省令第二十号）</w:t>
      </w:r>
    </w:p>
    <w:p>
      <w:r>
        <w:t>予算決算及び会計令（昭和二十二年勅令第百六十五号）第百三十七条及び第百四十二条並びに特別会計に関する法律施行令（平成十九年政令第百二十四号）の規定による帳簿の様式及び記入の方法並びに書類の様式は、次表の上欄に掲げる帳簿又は書類については、下欄に掲げる書式による。</w:t>
      </w:r>
    </w:p>
    <w:p>
      <w:r>
        <w:br w:type="page"/>
      </w:r>
    </w:p>
    <w:p>
      <w:pPr>
        <w:pStyle w:val="Heading1"/>
      </w:pPr>
      <w:r>
        <w:t>附　則</w:t>
      </w:r>
    </w:p>
    <w:p>
      <w:r>
        <w:t>本令ハ大正十一年四月一日ヨリ之ヲ施行ス</w:t>
      </w:r>
    </w:p>
    <w:p>
      <w:r>
        <w:t>左ノ大蔵省令ハ之ヲ廃止ス</w:t>
      </w:r>
    </w:p>
    <w:p>
      <w:r>
        <w:br w:type="page"/>
      </w:r>
    </w:p>
    <w:p>
      <w:pPr>
        <w:pStyle w:val="Heading1"/>
      </w:pPr>
      <w:r>
        <w:t>附則（昭和二二年九月二〇日大蔵省令第九〇号）</w:t>
      </w:r>
    </w:p>
    <w:p>
      <w:r>
        <w:t>この省令は、公布の日から、これを施行する。</w:t>
        <w:br/>
        <w:t>但し、徴収簿、歳入簿、支出簿、歳出簿、歳入主計簿及び歳出主計簿の様式及び記入方法については、昭和二十二年度からこれを適用する。</w:t>
      </w:r>
    </w:p>
    <w:p>
      <w:r>
        <w:t>第九号書式及び第十八号書式に定める目の記載は、当分の間これを省略することができる。</w:t>
      </w:r>
    </w:p>
    <w:p>
      <w:r>
        <w:br w:type="page"/>
      </w:r>
    </w:p>
    <w:p>
      <w:pPr>
        <w:pStyle w:val="Heading1"/>
      </w:pPr>
      <w:r>
        <w:t>附則（昭和二四年六月二日大蔵省令第五〇号）</w:t>
      </w:r>
    </w:p>
    <w:p>
      <w:r>
        <w:t>この省令は、公布の日から施行し、昭和二十四年度から適用する。</w:t>
      </w:r>
    </w:p>
    <w:p>
      <w:r>
        <w:br w:type="page"/>
      </w:r>
    </w:p>
    <w:p>
      <w:pPr>
        <w:pStyle w:val="Heading1"/>
      </w:pPr>
      <w:r>
        <w:t>附則（昭和二五年四月一日大蔵省令第二六号）</w:t>
      </w:r>
    </w:p>
    <w:p>
      <w:pPr>
        <w:pStyle w:val="Heading5"/>
        <w:ind w:left="440"/>
      </w:pPr>
      <w:r>
        <w:t>１</w:t>
      </w:r>
    </w:p>
    <w:p>
      <w:pPr>
        <w:ind w:left="440"/>
      </w:pPr>
      <w:r>
        <w:t>この省令は、公布の日から施行する。</w:t>
      </w:r>
    </w:p>
    <w:p>
      <w:r>
        <w:br w:type="page"/>
      </w:r>
    </w:p>
    <w:p>
      <w:pPr>
        <w:pStyle w:val="Heading1"/>
      </w:pPr>
      <w:r>
        <w:t>附則（昭和二七年三月三一日大蔵省令第一九号）</w:t>
      </w:r>
    </w:p>
    <w:p>
      <w:pPr>
        <w:pStyle w:val="Heading5"/>
        <w:ind w:left="440"/>
      </w:pPr>
      <w:r>
        <w:t>１</w:t>
      </w:r>
    </w:p>
    <w:p>
      <w:pPr>
        <w:ind w:left="440"/>
      </w:pPr>
      <w:r>
        <w:t>この省令は、昭和二十七年四月一日から施行し、昭和二十七年度分の予算に係る帳簿及び書類から適用する。</w:t>
      </w:r>
    </w:p>
    <w:p>
      <w:r>
        <w:br w:type="page"/>
      </w:r>
    </w:p>
    <w:p>
      <w:pPr>
        <w:pStyle w:val="Heading1"/>
      </w:pPr>
      <w:r>
        <w:t>附則（昭和三八年五月三一日大蔵省令第三一号）</w:t>
      </w:r>
    </w:p>
    <w:p>
      <w:pPr>
        <w:pStyle w:val="Heading5"/>
        <w:ind w:left="440"/>
      </w:pPr>
      <w:r>
        <w:t>１</w:t>
      </w:r>
    </w:p>
    <w:p>
      <w:pPr>
        <w:ind w:left="440"/>
      </w:pPr>
      <w:r>
        <w:t>この省令は、公布の日から施行する。</w:t>
      </w:r>
    </w:p>
    <w:p>
      <w:r>
        <w:br w:type="page"/>
      </w:r>
    </w:p>
    <w:p>
      <w:pPr>
        <w:pStyle w:val="Heading1"/>
      </w:pPr>
      <w:r>
        <w:t>附則（昭和三九年二月二六日大蔵省令第四号）</w:t>
      </w:r>
    </w:p>
    <w:p>
      <w:pPr>
        <w:pStyle w:val="Heading5"/>
        <w:ind w:left="440"/>
      </w:pPr>
      <w:r>
        <w:t>１</w:t>
      </w:r>
    </w:p>
    <w:p>
      <w:pPr>
        <w:ind w:left="440"/>
      </w:pPr>
      <w:r>
        <w:t>この省令は、昭和三十九年四月一日から施行し、昭和三十九年度分の予算に係る書類から適用する。</w:t>
      </w:r>
    </w:p>
    <w:p>
      <w:r>
        <w:br w:type="page"/>
      </w:r>
    </w:p>
    <w:p>
      <w:pPr>
        <w:pStyle w:val="Heading1"/>
      </w:pPr>
      <w:r>
        <w:t>附則（昭和四〇年五月二四日大蔵省令第三六号）</w:t>
      </w:r>
    </w:p>
    <w:p>
      <w:pPr>
        <w:pStyle w:val="Heading5"/>
        <w:ind w:left="440"/>
      </w:pPr>
      <w:r>
        <w:t>１</w:t>
      </w:r>
    </w:p>
    <w:p>
      <w:pPr>
        <w:ind w:left="440"/>
      </w:pPr>
      <w:r>
        <w:t>この省令は、公布の日から施行し、昭和四十年度分の予算に係る帳簿及び書類から適用する。</w:t>
      </w:r>
    </w:p>
    <w:p>
      <w:pPr>
        <w:pStyle w:val="Heading5"/>
        <w:ind w:left="440"/>
      </w:pPr>
      <w:r>
        <w:t>２</w:t>
      </w:r>
    </w:p>
    <w:p>
      <w:pPr>
        <w:ind w:left="440"/>
      </w:pPr>
      <w:r>
        <w:t>昭和三十九年度分の予算に係る帳簿及び書類については、なお従前の例による。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附則（昭和四二年六月七日大蔵省令第三三号）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附則（昭和四四年三月一五日大蔵省令第八号）</w:t>
      </w:r>
    </w:p>
    <w:p>
      <w:r>
        <w:t>この省令は、昭和四十四年三月二十日から施行する。</w:t>
      </w:r>
    </w:p>
    <w:p>
      <w:r>
        <w:br w:type="page"/>
      </w:r>
    </w:p>
    <w:p>
      <w:pPr>
        <w:pStyle w:val="Heading1"/>
      </w:pPr>
      <w:r>
        <w:t>附則（昭和四四年五月九日大蔵省令第二九号）</w:t>
      </w:r>
    </w:p>
    <w:p>
      <w:r>
        <w:t>この省令は、公布の日から施行する。</w:t>
      </w:r>
    </w:p>
    <w:p>
      <w:r>
        <w:br w:type="page"/>
      </w:r>
    </w:p>
    <w:p>
      <w:pPr>
        <w:pStyle w:val="Heading1"/>
      </w:pPr>
      <w:r>
        <w:t>附則（昭和四五年七月三一日大蔵省令第五九号）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この省令施行の際、現に存する改正前の書式による帳簿及び用紙は、当分の間、これを使用することができる。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附則（昭和四九年一〇月一日大蔵省令第六一号）</w:t>
      </w:r>
    </w:p>
    <w:p>
      <w:pPr>
        <w:pStyle w:val="Heading5"/>
        <w:ind w:left="440"/>
      </w:pPr>
      <w:r>
        <w:t>１</w:t>
      </w:r>
    </w:p>
    <w:p>
      <w:pPr>
        <w:ind w:left="440"/>
      </w:pPr>
      <w:r>
        <w:t>この省令は、公布の日から施行する。</w:t>
      </w:r>
    </w:p>
    <w:p>
      <w:r>
        <w:br w:type="page"/>
      </w:r>
    </w:p>
    <w:p>
      <w:pPr>
        <w:pStyle w:val="Heading1"/>
      </w:pPr>
      <w:r>
        <w:t>附則（昭和四九年一二月二一日大蔵省令第六六号）</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附則（昭和五七年三月二九日大蔵省令第七号）</w:t>
      </w:r>
    </w:p>
    <w:p>
      <w:r>
        <w:t>この省令は、公布の日から施行する。</w:t>
      </w:r>
    </w:p>
    <w:p>
      <w:r>
        <w:br w:type="page"/>
      </w:r>
    </w:p>
    <w:p>
      <w:pPr>
        <w:pStyle w:val="Heading1"/>
      </w:pPr>
      <w:r>
        <w:t>附則（昭和五八年五月一六日大蔵省令第二八号）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この省令による改正後の国の会計帳簿及び書類の様式等に関する省令別表第二十四号書式及び国税収納金整理資金事務取扱規則第百三十九条第一項の規定は、昭和五十八年度分の予算から適用する。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r>
        <w:br w:type="page"/>
      </w:r>
    </w:p>
    <w:p>
      <w:pPr>
        <w:pStyle w:val="Heading1"/>
      </w:pPr>
      <w:r>
        <w:t>附則（平成五年四月八日大蔵省令第五二号）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この省令による改正後の国の会計帳簿及び書類の様式等に関する省令の規定は、平成五年度分の予算から適用し、平成四年度分の予算については、なお従前の例による。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附則（平成二〇年三月二七日財務省令第一五号）</w:t>
      </w:r>
    </w:p>
    <w:p>
      <w:pPr>
        <w:pStyle w:val="Heading5"/>
        <w:ind w:left="440"/>
      </w:pPr>
      <w:r>
        <w:t>１</w:t>
      </w:r>
    </w:p>
    <w:p>
      <w:pPr>
        <w:ind w:left="440"/>
      </w:pPr>
      <w:r>
        <w:t>この省令は、平成二十年四月一日から施行する。</w:t>
      </w:r>
    </w:p>
    <w:p>
      <w:pPr>
        <w:pStyle w:val="Heading5"/>
        <w:ind w:left="440"/>
      </w:pPr>
      <w:r>
        <w:t>２</w:t>
      </w:r>
    </w:p>
    <w:p>
      <w:pPr>
        <w:ind w:left="440"/>
      </w:pPr>
      <w:r>
        <w:t>第一条の規定による改正後の国の会計帳簿及び書類の様式等に関する省令別表第九号書式、第十三号書式及び第二十号書式は、平成二十年度分の予算から適用し、平成十九年度分の予算については、なお従前の例による。</w:t>
      </w:r>
    </w:p>
    <w:p>
      <w:r>
        <w:br w:type="page"/>
      </w:r>
    </w:p>
    <w:p>
      <w:pPr>
        <w:pStyle w:val="Heading1"/>
      </w:pPr>
      <w:r>
        <w:t>附則（平成二四年三月三〇日財務省令第一九号）</w:t>
      </w:r>
    </w:p>
    <w:p>
      <w:r>
        <w:t>この省令は、平成二十四年四月一日から施行する。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国の会計帳簿及び書類の様式等に関する省令</w:t>
      <w:br/>
      <w:tab/>
      <w:t>（大正十一年大蔵省令第二十号）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国の会計帳簿及び書類の様式等に関する省令（大正十一年大蔵省令第二十号）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