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国債証券買入銷却法</w:t>
        <w:br/>
        <w:t>（明治二十九年法律第五号）</w:t>
      </w:r>
    </w:p>
    <w:p>
      <w:pPr>
        <w:pStyle w:val="Heading4"/>
      </w:pPr>
      <w:r>
        <w:t>第一条</w:t>
      </w:r>
    </w:p>
    <w:p>
      <w:r>
        <w:t>政府ハ毎年度国債費予算定額以内ニ於テ国債証券ヲ買入レ之カ銷却ヲ為スコトヲ得</w:t>
      </w:r>
    </w:p>
    <w:p>
      <w:pPr>
        <w:pStyle w:val="Heading4"/>
      </w:pPr>
      <w:r>
        <w:t>第二条</w:t>
      </w:r>
    </w:p>
    <w:p>
      <w:r>
        <w:t>国債証券ノ買入銷却ヲ為シタルトキハ財務大臣ハ其ノ証券ノ種類、番号、総額及其ノ買入価格ヲ告示スヘシ</w:t>
      </w:r>
    </w:p>
    <w:p>
      <w:pPr>
        <w:pStyle w:val="Heading4"/>
      </w:pPr>
      <w:r>
        <w:t>第三条</w:t>
      </w:r>
    </w:p>
    <w:p>
      <w:r>
        <w:t>銷却ノ為ニスル国債証券ノ買入ハ随意契約ヲ以テ之ヲ為スコトヲ得</w:t>
      </w:r>
    </w:p>
    <w:p>
      <w:r>
        <w:br w:type="page"/>
      </w:r>
    </w:p>
    <w:p>
      <w:pPr>
        <w:pStyle w:val="Heading1"/>
      </w:pPr>
      <w:r>
        <w:t>附　則</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6"/>
        <w:ind w:left="880"/>
      </w:pPr>
      <w:r>
        <w:t>一</w:t>
      </w:r>
    </w:p>
    <w:p>
      <w:pPr>
        <w:ind w:left="880"/>
      </w:pPr>
      <w:r>
        <w:t>第十条から第十二条までの規定</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国債証券買入銷却法</w:t>
      <w:br/>
      <w:tab/>
      <w:t>（明治二十九年法律第五号）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国債証券買入銷却法（明治二十九年法律第五号）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