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国土交通省国立研究開発法人審議会令</w:t>
        <w:br/>
        <w:t>（平成二十七年政令第百九十七号）</w:t>
      </w:r>
    </w:p>
    <w:p>
      <w:pPr>
        <w:pStyle w:val="Heading4"/>
      </w:pPr>
      <w:r>
        <w:t>第一条（組織）</w:t>
      </w:r>
    </w:p>
    <w:p>
      <w:r>
        <w:t>国土交通省の国立研究開発法人審議会（以下「審議会」という。）は、委員二十人以内で組織する。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二条第三項に規定する研究開発をいう。次項において同じ。）に関して高い識見を有する者）のうちから、国土交通大臣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専門委員は、当該専門の事項に関し学識経験のある者（その者が外国人である場合にあっては、当該専門の事項に係る研究開発に関して高い識見を有する者）のうちから、国土交通大臣が任命する。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審議会は、会議を開き、議決する場合は、次に掲げる要件を満たさなければならない。</w:t>
      </w:r>
    </w:p>
    <w:p>
      <w:pPr>
        <w:pStyle w:val="ListBullet"/>
        <w:ind w:left="880"/>
      </w:pPr>
      <w:r>
        <w:t>一</w:t>
        <w:br/>
        <w:t>外国人である委員及び議事に関係のある外国人である臨時委員の数が、委員及び議事に関係のある臨時委員の総数の五分の一を超えないこと。</w:t>
      </w:r>
    </w:p>
    <w:p>
      <w:pPr>
        <w:pStyle w:val="ListBullet"/>
        <w:ind w:left="880"/>
      </w:pPr>
      <w:r>
        <w:t>二</w:t>
        <w:b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審議会の庶務は、国土交通省大臣官房技術調査課において総括し、及び処理する。</w:t>
        <w:br/>
        <w:t>ただし、国立研究開発法人海上・港湾・航空技術研究所に係るものについては、国土交通省総合政策局技術政策課において処理する。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国土交通省国立研究開発法人審議会令</w:t>
      <w:br/>
      <w:tab/>
      <w:t>（平成二十七年政令第百九十七号）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国土交通省国立研究開発法人審議会令（平成二十七年政令第百九十七号）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