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国家公安委員会の所管する法令の規定に基づく民間事業者等が行う書面の保存等における情報通信の技術の利用に関する規則</w:t>
        <w:br/>
        <w:t>（平成十七年国家公安委員会規則第七号）</w:t>
      </w:r>
    </w:p>
    <w:p>
      <w:pPr>
        <w:pStyle w:val="Heading4"/>
      </w:pPr>
      <w:r>
        <w:t>第一条（趣旨）</w:t>
      </w:r>
    </w:p>
    <w:p>
      <w:r>
        <w:t>民間事業者等が、国家公安委員会の所管する法令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及び別表第二の上欄に掲げる法令の同表の下欄に掲げる規定に基づき、電磁的記録による保存を行う場合は、次に掲げる方法のいずれかにより行わなければならない。</w:t>
      </w:r>
    </w:p>
    <w:p>
      <w:pPr>
        <w:pStyle w:val="Heading6"/>
        <w:ind w:left="880"/>
      </w:pPr>
      <w:r>
        <w:t>一</w:t>
      </w:r>
    </w:p>
    <w:p>
      <w:pPr>
        <w:ind w:left="880"/>
      </w:pPr>
      <w:r>
        <w:t>電磁的記録（次号に規定するものを除く。）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民間事業者等が、前項の規定に基づく電磁的記録の保存を行う場合は、必要に応じ電子計算機その他の機器を用いて直ちに当該電磁的記録を表示することができなければならない。</w:t>
      </w:r>
    </w:p>
    <w:p>
      <w:pPr>
        <w:pStyle w:val="Heading5"/>
        <w:ind w:left="440"/>
      </w:pPr>
      <w:r>
        <w:t>３</w:t>
      </w:r>
    </w:p>
    <w:p>
      <w:pPr>
        <w:ind w:left="440"/>
      </w:pPr>
      <w:r>
        <w:t>民間事業者等が、第一項の規定に基づく電磁的記録の保存を行う場合は、国家公安委員会が定める基準を確保するよう努めなければならない。</w:t>
      </w:r>
    </w:p>
    <w:p>
      <w:pPr>
        <w:pStyle w:val="Heading4"/>
      </w:pPr>
      <w:r>
        <w:t>第五条（法第四条第一項の主務省令で定める作成）</w:t>
      </w:r>
    </w:p>
    <w:p>
      <w:r>
        <w:t>法第四条第一項の主務省令で定める作成は、別表第三の上欄に掲げる法令の同表の下欄に掲げる規定に基づく書面の作成とする。</w:t>
      </w:r>
    </w:p>
    <w:p>
      <w:pPr>
        <w:pStyle w:val="Heading4"/>
      </w:pPr>
      <w:r>
        <w:t>第六条（電磁的記録による作成）</w:t>
      </w:r>
    </w:p>
    <w:p>
      <w:r>
        <w:t>民間事業者等が、法第四条第一項の規定に基づき、別表第三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法第五条第一項の主務省令で定める縦覧等は、別表第四の上欄に掲げる法令の同表の下欄に掲げる規定に基づく書面の縦覧等とする。</w:t>
      </w:r>
    </w:p>
    <w:p>
      <w:pPr>
        <w:pStyle w:val="Heading4"/>
      </w:pPr>
      <w:r>
        <w:t>第八条（電磁的記録による縦覧等）</w:t>
      </w:r>
    </w:p>
    <w:p>
      <w:r>
        <w:t>民間事業者等が、法第五条第一項の規定に基づき、別表第四の上欄に掲げる法令の同表の下欄に掲げる規定に基づく書面の縦覧等に代えて当該書面に係る電磁的記録に記録されている事項の縦覧等を行う場合は、当該事項を民間事業者等の管理する場所に備え置く電子計算機の映像面における表示又は当該事項を記載した書類により行わなければならない。</w:t>
      </w:r>
    </w:p>
    <w:p>
      <w:r>
        <w:br w:type="page"/>
      </w:r>
    </w:p>
    <w:p>
      <w:pPr>
        <w:pStyle w:val="Heading1"/>
      </w:pPr>
      <w:r>
        <w:t>附　則</w:t>
      </w:r>
    </w:p>
    <w:p>
      <w:pPr>
        <w:pStyle w:val="Heading4"/>
      </w:pPr>
      <w:r>
        <w:t>第一条（施行期日）</w:t>
      </w:r>
    </w:p>
    <w:p>
      <w:r>
        <w:t>この規則は平成十七年四月一日から施行する。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　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　則（平成一九年二月二二日国家公安委員会規則第三号）</w:t>
      </w:r>
    </w:p>
    <w:p>
      <w:r>
        <w:t>この規則は、探偵業の業務の適正化に関する法律の施行の日（平成十九年六月一日）から施行する。</w:t>
      </w:r>
    </w:p>
    <w:p>
      <w:r>
        <w:br w:type="page"/>
      </w:r>
    </w:p>
    <w:p>
      <w:pPr>
        <w:pStyle w:val="Heading1"/>
      </w:pPr>
      <w:r>
        <w:t>附　則（平成一九年三月二七日国家公安委員会規則第六号）</w:t>
      </w:r>
    </w:p>
    <w:p>
      <w:r>
        <w:t>この規則は、法の施行の日（平成十九年十二月十日）から施行する。</w:t>
      </w:r>
    </w:p>
    <w:p>
      <w:r>
        <w:br w:type="page"/>
      </w:r>
    </w:p>
    <w:p>
      <w:pPr>
        <w:pStyle w:val="Heading1"/>
      </w:pPr>
      <w:r>
        <w:t>附　則（平成一九年九月一四日国家公安委員会規則第二〇号）</w:t>
      </w:r>
    </w:p>
    <w:p>
      <w:r>
        <w:t>この規則は、信託法（平成十八年法律第百八号）の施行の日（平成十九年九月三十日）から施行する。</w:t>
      </w:r>
    </w:p>
    <w:p>
      <w:r>
        <w:br w:type="page"/>
      </w:r>
    </w:p>
    <w:p>
      <w:pPr>
        <w:pStyle w:val="Heading1"/>
      </w:pPr>
      <w:r>
        <w:t>附　則（平成二一年一一月一八日国家公安委員会規則第一〇号）</w:t>
      </w:r>
    </w:p>
    <w:p>
      <w:r>
        <w:t>この規則は、銃砲刀剣類所持等取締法の一部を改正する法律の施行の日（平成二十一年十二月四日）から施行する。</w:t>
      </w:r>
    </w:p>
    <w:p>
      <w:r>
        <w:br w:type="page"/>
      </w:r>
    </w:p>
    <w:p>
      <w:pPr>
        <w:pStyle w:val="Heading1"/>
      </w:pPr>
      <w:r>
        <w:t>附　則（平成二七年三月二七日国家公安委員会規則第七号）</w:t>
      </w:r>
    </w:p>
    <w:p>
      <w:r>
        <w:t>この規則は、平成二十七年四月一日から施行する。</w:t>
      </w:r>
    </w:p>
    <w:p>
      <w:r>
        <w:br w:type="page"/>
      </w:r>
    </w:p>
    <w:p>
      <w:pPr>
        <w:pStyle w:val="Heading1"/>
      </w:pPr>
      <w:r>
        <w:t>附　則（平成二七年一一月一三日国家公安委員会規則第二〇号）</w:t>
      </w:r>
    </w:p>
    <w:p>
      <w:r>
        <w:t>この規則は、風俗営業等の規制及び業務の適正化等に関する法律の一部を改正する法律の施行の日（平成二十八年六月二十三日）から施行する。</w:t>
      </w:r>
    </w:p>
    <w:p>
      <w:r>
        <w:br w:type="page"/>
      </w:r>
    </w:p>
    <w:p>
      <w:pPr>
        <w:pStyle w:val="Heading1"/>
      </w:pPr>
      <w:r>
        <w:t>附　則（平成三〇年九月一四日国家公安委員会規則第一四号）</w:t>
      </w:r>
    </w:p>
    <w:p>
      <w:r>
        <w:t>この規則は、古物営業法の一部を改正する法律（次項において「改正法」という。）附則第一条ただし書に規定する規定の施行の日（平成三十年十月二十四日）から施行する。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国家公安委員会の所管する法令の規定に基づく民間事業者等が行う書面の保存等における情報通信の技術の利用に関する規則</w:t>
      <w:br/>
      <w:tab/>
      <w:t>（平成十七年国家公安委員会規則第七号）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国家公安委員会の所管する法令の規定に基づく民間事業者等が行う書面の保存等における情報通信の技術の利用に関する規則（平成十七年国家公安委員会規則第七号）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