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国庫金振替書その他国庫金の払出しに関する書類の様式を定める省令</w:t>
        <w:br/>
        <w:t>（昭和四十三年大蔵省令第五十一号）</w:t>
      </w:r>
    </w:p>
    <w:p>
      <w:r>
        <w:t>法令の規定により、支出官、出納官吏その他国庫金の払出しに関する事務を行う職員が発行する次の各号に掲げる書類の様式は、当該各号に定める書式による。</w:t>
      </w:r>
    </w:p>
    <w:p>
      <w:pPr>
        <w:pStyle w:val="ListBullet"/>
        <w:ind w:left="880"/>
      </w:pPr>
      <w:r>
        <w:t>一</w:t>
        <w:br/>
        <w:t>国庫金振替書</w:t>
        <w:br/>
        <w:br/>
        <w:br/>
        <w:t>別紙第一号書式</w:t>
      </w:r>
    </w:p>
    <w:p>
      <w:pPr>
        <w:pStyle w:val="ListBullet"/>
        <w:ind w:left="880"/>
      </w:pPr>
      <w:r>
        <w:t>二</w:t>
        <w:br/>
        <w:t>国庫金送金請求書</w:t>
        <w:br/>
        <w:br/>
        <w:br/>
        <w:t>別紙第二号書式</w:t>
      </w:r>
    </w:p>
    <w:p>
      <w:pPr>
        <w:pStyle w:val="ListBullet"/>
        <w:ind w:left="880"/>
      </w:pPr>
      <w:r>
        <w:t>三</w:t>
        <w:br/>
        <w:t>国庫金振込請求書</w:t>
        <w:br/>
        <w:br/>
        <w:br/>
        <w:t>別紙第三号書式</w:t>
      </w:r>
    </w:p>
    <w:p>
      <w:pPr>
        <w:pStyle w:val="ListBullet"/>
        <w:ind w:left="880"/>
      </w:pPr>
      <w:r>
        <w:t>四</w:t>
        <w:br/>
        <w:t>国庫金送金通知書</w:t>
        <w:br/>
        <w:br/>
        <w:br/>
        <w:t>別紙第四号書式</w:t>
      </w:r>
    </w:p>
    <w:p>
      <w:pPr>
        <w:pStyle w:val="ListBullet"/>
        <w:ind w:left="880"/>
      </w:pPr>
      <w:r>
        <w:t>五</w:t>
        <w:br/>
        <w:t>削除</w:t>
      </w:r>
    </w:p>
    <w:p>
      <w:pPr>
        <w:pStyle w:val="ListBullet"/>
        <w:ind w:left="880"/>
      </w:pPr>
      <w:r>
        <w:t>六</w:t>
        <w:br/>
        <w:t>道府県民税及び市町村民税月割額又は退職手当等所得割（納入申告及び）納入通知書</w:t>
        <w:br/>
        <w:br/>
        <w:br/>
        <w:t>別紙第六号書式</w:t>
      </w:r>
    </w:p>
    <w:p>
      <w:r>
        <w:br w:type="page"/>
      </w:r>
    </w:p>
    <w:p>
      <w:pPr>
        <w:pStyle w:val="Heading1"/>
      </w:pPr>
      <w:r>
        <w:t>附　則</w:t>
      </w:r>
    </w:p>
    <w:p>
      <w:r>
        <w:t>この省令は、昭和四十四年四月一日から施行する。</w:t>
      </w:r>
    </w:p>
    <w:p>
      <w:r>
        <w:br w:type="page"/>
      </w:r>
    </w:p>
    <w:p>
      <w:pPr>
        <w:pStyle w:val="Heading1"/>
      </w:pPr>
      <w:r>
        <w:t>附則（昭和四五年一月一九日大蔵省令第一号）</w:t>
      </w:r>
    </w:p>
    <w:p>
      <w:pPr>
        <w:pStyle w:val="Heading5"/>
        <w:ind w:left="440"/>
      </w:pPr>
      <w:r>
        <w:t>１</w:t>
      </w:r>
    </w:p>
    <w:p>
      <w:pPr>
        <w:ind w:left="440"/>
      </w:pPr>
      <w:r>
        <w:t>この省令中第二条の規定は、昭和四十五年四月一日から、第一条の規定は、同年七月一日から施行する。</w:t>
        <w:br/>
        <w:t>ただし、支出官事務規程（昭和二十二年大蔵省令第九十四号）第六条の規定に基づいて同令第五条第二項の規定に係る特例の適用を受ける支出官にあつては、同年四月一日から適用する。</w:t>
      </w:r>
    </w:p>
    <w:p>
      <w:pPr>
        <w:pStyle w:val="Heading5"/>
        <w:ind w:left="440"/>
      </w:pPr>
      <w:r>
        <w:t>２</w:t>
      </w:r>
    </w:p>
    <w:p>
      <w:pPr>
        <w:ind w:left="440"/>
      </w:pPr>
      <w:r>
        <w:t>この省令中第一条の規定の施行の際現に存するこの規定による改正前の書式による用紙は、当分の間、これを使用することができる。</w:t>
      </w:r>
    </w:p>
    <w:p>
      <w:r>
        <w:br w:type="page"/>
      </w:r>
    </w:p>
    <w:p>
      <w:pPr>
        <w:pStyle w:val="Heading1"/>
      </w:pPr>
      <w:r>
        <w:t>附則（昭和四七年七月二八日大蔵省令第六六号）</w:t>
      </w:r>
    </w:p>
    <w:p>
      <w:pPr>
        <w:pStyle w:val="Heading5"/>
        <w:ind w:left="440"/>
      </w:pPr>
      <w:r>
        <w:t>１</w:t>
      </w:r>
    </w:p>
    <w:p>
      <w:pPr>
        <w:ind w:left="440"/>
      </w:pPr>
      <w:r>
        <w:t>この省令は、昭和四十七年十月一日から施行する。</w:t>
        <w:br/>
        <w:t>ただし、第三号書式付表（その一）及び（その二）の改正に係る部分は、同年八月一日から施行する。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附則（昭和四九年一二月六日大蔵省令第六五号）</w:t>
      </w:r>
    </w:p>
    <w:p>
      <w:pPr>
        <w:pStyle w:val="Heading5"/>
        <w:ind w:left="440"/>
      </w:pPr>
      <w:r>
        <w:t>１</w:t>
      </w:r>
    </w:p>
    <w:p>
      <w:pPr>
        <w:ind w:left="440"/>
      </w:pPr>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附則（平成元年三月三一日大蔵省令第三四号）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第十三条の規定</w:t>
        <w:br/>
        <w:br/>
        <w:br/>
        <w:t>平成十二年四月一日</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pPr>
        <w:pStyle w:val="Heading5"/>
        <w:ind w:left="440"/>
      </w:pPr>
      <w:r>
        <w:t>４</w:t>
      </w:r>
    </w:p>
    <w:p>
      <w:pPr>
        <w:ind w:left="440"/>
      </w:pPr>
      <w:r>
        <w:t>第十三条の規定の施行の際、現に存する同条の規定による改正前の書式による用紙は、当分の間、これを取り繕い使用することができる。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附則（令和三年四月一日財務省令第三九号）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国庫金振替書その他国庫金の払出しに関する書類の様式を定める省令</w:t>
      <w:br/>
      <w:tab/>
      <w:t>（昭和四十三年大蔵省令第五十一号）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国庫金振替書その他国庫金の払出しに関する書類の様式を定める省令（昭和四十三年大蔵省令第五十一号）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