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国旗及び国歌に関する法律</w:t>
        <w:br/>
        <w:t>（平成十一年法律第百二十七号）</w:t>
      </w:r>
    </w:p>
    <w:p>
      <w:pPr>
        <w:pStyle w:val="Heading4"/>
      </w:pPr>
      <w:r>
        <w:t>第一条（国旗）</w:t>
      </w:r>
    </w:p>
    <w:p>
      <w:r>
        <w:t>国旗は、日章旗とする。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日章旗の制式は、別記第一のとおりとする。</w:t>
      </w:r>
    </w:p>
    <w:p>
      <w:pPr>
        <w:pStyle w:val="Heading4"/>
      </w:pPr>
      <w:r>
        <w:t>第二条（国歌）</w:t>
      </w:r>
    </w:p>
    <w:p>
      <w:r>
        <w:t>国歌は、君が代とする。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君が代の歌詞及び楽曲は、別記第二のとおりとする。</w:t>
      </w:r>
    </w:p>
    <w:p>
      <w:r>
        <w:br w:type="page"/>
      </w:r>
    </w:p>
    <w:p>
      <w:pPr>
        <w:pStyle w:val="Heading1"/>
      </w:pPr>
      <w:r>
        <w:t>附　則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この法律は、公布の日から施行する。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商船規則（明治三年太政官布告第五十七号）は、廃止する。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日章旗の制式については、当分の間、別記第一の規定にかかわらず、寸法の割合について縦を横の十分の七とし、かつ、日章の中心の位置について旗の中心から旗竿ざお</w:t>
        <w:br/>
        <w:t>側に横の長さの百分の一偏した位置とすることができる。</w:t>
      </w:r>
    </w:p>
    <w:p>
      <w:pPr>
        <w:pStyle w:val="ListBullet"/>
        <w:ind w:left="880"/>
      </w:pPr>
      <w:r>
        <w:t>一</w:t>
        <w:br/>
        <w:t>寸法の割合及び日章の位置</w:t>
      </w:r>
    </w:p>
    <w:p>
      <w:pPr>
        <w:pStyle w:val="ListBullet"/>
        <w:ind w:left="880"/>
      </w:pPr>
      <w:r>
        <w:t>二</w:t>
        <w:br/>
        <w:t>彩色</w:t>
      </w:r>
    </w:p>
    <w:p>
      <w:pPr>
        <w:pStyle w:val="ListBullet"/>
        <w:ind w:left="880"/>
      </w:pPr>
      <w:r>
        <w:t>一</w:t>
        <w:br/>
        <w:t>歌詞</w:t>
      </w:r>
    </w:p>
    <w:p>
      <w:pPr>
        <w:pStyle w:val="ListBullet"/>
        <w:ind w:left="880"/>
      </w:pPr>
      <w:r>
        <w:t>二</w:t>
        <w:br/>
        <w:t>楽曲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国旗及び国歌に関する法律</w:t>
      <w:br/>
      <w:tab/>
      <w:t>（平成十一年法律第百二十七号）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国旗及び国歌に関する法律（平成十一年法律第百二十七号）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