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国税不服審判所組織令</w:t>
        <w:br/>
        <w:t>（昭和四十五年政令第五十号）</w:t>
      </w:r>
    </w:p>
    <w:p>
      <w:pPr>
        <w:pStyle w:val="Heading4"/>
      </w:pPr>
      <w:r>
        <w:t>第一条（次長）</w:t>
      </w:r>
    </w:p>
    <w:p>
      <w:r>
        <w:t>国税不服審判所に、次長一人を置き、国税審判官をもつてこれに充てる。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次長は、国税不服審判所長を助け、所務を整理する。</w:t>
      </w:r>
    </w:p>
    <w:p>
      <w:pPr>
        <w:pStyle w:val="Heading4"/>
      </w:pPr>
      <w:r>
        <w:t>第二条（次席国税審判官）</w:t>
      </w:r>
    </w:p>
    <w:p>
      <w:r>
        <w:t>国税不服審判所の支部（以下「支部」という。）のうち財務省令で定めるものに、次席国税審判官各一人を置き、国税審判官をもつてこれに充てる。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次席国税審判官は、首席国税審判官を助け、支部の事務を整理する。</w:t>
      </w:r>
    </w:p>
    <w:p>
      <w:pPr>
        <w:pStyle w:val="Heading4"/>
      </w:pPr>
      <w:r>
        <w:t>第三条（省令への委任）</w:t>
      </w:r>
    </w:p>
    <w:p>
      <w:r>
        <w:t>この政令に定めるもののほか、国税審判官及び国税副審判官の定数、支部の内部組織その他国税不服審判所の組織に関する細目は、財務省令で定める。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この政令は、昭和四十五年五月一日から施行する。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国税庁協議団及び国税局協議団令（昭和二十五年政令第二百十四号）は、廃止する。</w:t>
      </w:r>
    </w:p>
    <w:p>
      <w:r>
        <w:br w:type="page"/>
      </w:r>
    </w:p>
    <w:p>
      <w:pPr>
        <w:pStyle w:val="Heading1"/>
      </w:pPr>
      <w:r>
        <w:t>附則（昭和六一年五月二三日政令第一七一号）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附則（平成一二年六月七日政令第三〇七号）</w:t>
      </w:r>
    </w:p>
    <w:p>
      <w:pPr>
        <w:pStyle w:val="Heading4"/>
      </w:pPr>
      <w:r>
        <w:t>第一条（施行期日）</w:t>
      </w:r>
    </w:p>
    <w:p>
      <w:r>
        <w:t>この政令は、平成十三年一月六日から施行する。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国税不服審判所組織令</w:t>
      <w:br/>
      <w:tab/>
      <w:t>（昭和四十五年政令第五十号）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国税不服審判所組織令（昭和四十五年政令第五十号）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