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国立ハンセン病療養所名誉所長の称号の授与に関する省令</w:t>
        <w:br/>
        <w:t>（昭和三十九年厚生省令第十九号）</w:t>
      </w:r>
    </w:p>
    <w:p>
      <w:r>
        <w:t>厚生労働大臣は、国立ハンセン病療養所に所長として多年勤務した者であって、国立ハンセン病療養所の運営について功績のあったものに対し、別に定めるところにより、名誉所長の称号を授与することができ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附則（平成一三年二月二六日厚生労働省令第一六号）</w:t>
      </w:r>
    </w:p>
    <w:p>
      <w:r>
        <w:t>この省令は、平成十三年二月二十八日から施行する。</w:t>
      </w:r>
    </w:p>
    <w:p>
      <w:r>
        <w:br w:type="page"/>
      </w:r>
    </w:p>
    <w:p>
      <w:pPr>
        <w:pStyle w:val="Heading1"/>
      </w:pPr>
      <w:r>
        <w:t>附則（平成一六年三月三一日厚生労働省令第七七号）</w:t>
      </w:r>
    </w:p>
    <w:p>
      <w:pPr>
        <w:pStyle w:val="Heading4"/>
      </w:pPr>
      <w:r>
        <w:t>第一条（施行期日）</w:t>
      </w:r>
    </w:p>
    <w:p>
      <w:r>
        <w:t>この省令は、公布の日から施行する。</w:t>
        <w:br/>
        <w:t>ただし、附則第八条から第十八条までの規定は、平成十六年四月一日から施行する。</w:t>
      </w:r>
    </w:p>
    <w:p>
      <w:r>
        <w:br w:type="page"/>
      </w:r>
    </w:p>
    <w:p>
      <w:pPr>
        <w:pStyle w:val="Heading1"/>
      </w:pPr>
      <w:r>
        <w:t>附則（平成二二年三月三一日厚生労働省令第三八号）</w:t>
      </w:r>
    </w:p>
    <w:p>
      <w:pPr>
        <w:pStyle w:val="Heading4"/>
      </w:pPr>
      <w:r>
        <w:t>第一条（施行期日）</w:t>
      </w:r>
    </w:p>
    <w:p>
      <w:r>
        <w:t>この省令は、平成二十二年四月一日から施行する。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国立ハンセン病療養所名誉所長の称号の授与に関する省令</w:t>
      <w:br/>
      <w:tab/>
      <w:t>（昭和三十九年厚生省令第十九号）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国立ハンセン病療養所名誉所長の称号の授与に関する省令（昭和三十九年厚生省令第十九号）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