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国立研究開発法人医薬基盤・健康・栄養研究所の業務運営、財務及び会計並びに人事管理に関する命令</w:t>
        <w:br/>
        <w:t>（平成二十七年内閣府・厚生労働省令第四号）</w:t>
      </w:r>
    </w:p>
    <w:p>
      <w:pPr>
        <w:pStyle w:val="Heading4"/>
      </w:pPr>
      <w:r>
        <w:t>第一条（通則法第八条第三項の主務省令で定める重要な財産）</w:t>
      </w:r>
    </w:p>
    <w:p>
      <w:r>
        <w:t>国立研究開発法人医薬基盤・健康・栄養研究所（以下「研究所」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研究所の子法人（通則法第十九条第七項に規定する子法人をいう。第四項及び第十八条第二項第二号において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監事は、その職務の遂行に当たり、必要に応じ、研究所の他の監事、研究所の子法人の監査役その他これらの者に相当する者との意思疎通及び情報の交換を図るよう努めなければならない。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国立研究開発法人医薬基盤・健康・栄養研究所法（以下「法」という。）、国立研究開発法人医薬基盤・健康・栄養研究所法施行令（以下「令」という。）及びこの命令の規定に基づき厚生労働大臣（これらの法令の規定により厚生労働大臣及び内閣総理大臣に提出することとされている書類については、厚生労働大臣及び内閣総理大臣）に提出する書類とする。</w:t>
      </w:r>
    </w:p>
    <w:p>
      <w:pPr>
        <w:pStyle w:val="Heading4"/>
      </w:pPr>
      <w:r>
        <w:t>第四条（業務方法書の記載事項）</w:t>
      </w:r>
    </w:p>
    <w:p>
      <w:r>
        <w:t>研究所に係る通則法第二十八条第二項の主務省令で定める事項は、次のとおりとする。</w:t>
      </w:r>
    </w:p>
    <w:p>
      <w:pPr>
        <w:pStyle w:val="ListBullet"/>
        <w:ind w:left="880"/>
      </w:pPr>
      <w:r>
        <w:t>一</w:t>
        <w:br/>
        <w:t>法第十五条第一項第一号に規定する業務に関する事項</w:t>
      </w:r>
    </w:p>
    <w:p>
      <w:pPr>
        <w:pStyle w:val="ListBullet"/>
        <w:ind w:left="880"/>
      </w:pPr>
      <w:r>
        <w:t>二</w:t>
        <w:br/>
        <w:t>法第十五条第一項第二号に規定する業務に関する事項</w:t>
      </w:r>
    </w:p>
    <w:p>
      <w:pPr>
        <w:pStyle w:val="ListBullet"/>
        <w:ind w:left="880"/>
      </w:pPr>
      <w:r>
        <w:t>三</w:t>
        <w:br/>
        <w:t>法第十五条第一項第三号及び第四号に規定する調査及び研究に関する事項</w:t>
      </w:r>
    </w:p>
    <w:p>
      <w:pPr>
        <w:pStyle w:val="ListBullet"/>
        <w:ind w:left="880"/>
      </w:pPr>
      <w:r>
        <w:t>四</w:t>
        <w:br/>
        <w:t>法第十五条第一項第五号に規定する試験に関する事項</w:t>
      </w:r>
    </w:p>
    <w:p>
      <w:pPr>
        <w:pStyle w:val="ListBullet"/>
        <w:ind w:left="880"/>
      </w:pPr>
      <w:r>
        <w:t>五</w:t>
        <w:br/>
        <w:t>法第十五条第一項第六号に規定する出資並びに人的及び技術的援助に関する事項</w:t>
      </w:r>
    </w:p>
    <w:p>
      <w:pPr>
        <w:pStyle w:val="ListBullet"/>
        <w:ind w:left="880"/>
      </w:pPr>
      <w:r>
        <w:t>六</w:t>
        <w:br/>
        <w:t>法第十五条第二項第一号に規定する事務に関する事項</w:t>
      </w:r>
    </w:p>
    <w:p>
      <w:pPr>
        <w:pStyle w:val="ListBullet"/>
        <w:ind w:left="880"/>
      </w:pPr>
      <w:r>
        <w:t>七</w:t>
        <w:br/>
        <w:t>法第十五条第二項第二号から第四号までに規定する試験に関する事項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その他研究所の業務の執行に関して必要な事項</w:t>
      </w:r>
    </w:p>
    <w:p>
      <w:pPr>
        <w:pStyle w:val="Heading4"/>
      </w:pPr>
      <w:r>
        <w:t>第五条（中長期計画の認可の申請）</w:t>
      </w:r>
    </w:p>
    <w:p>
      <w:r>
        <w:t>研究所は、通則法第三十五条の五第一項の規定により中長期計画の認可を受けようとするときは、当該中長期計画の最初の事業年度開始の日の三十日前までに、当該中長期計画を記載した申請書を厚生労働大臣及び内閣総理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厚生労働大臣（当該変更が法第十五条第二項第二号から第四号までに規定する業務に係るものである場合には、厚生労働大臣及び内閣総理大臣）に提出しなければならない。</w:t>
      </w:r>
    </w:p>
    <w:p>
      <w:pPr>
        <w:pStyle w:val="Heading4"/>
      </w:pPr>
      <w:r>
        <w:t>第六条（中長期計画の記載事項）</w:t>
      </w:r>
    </w:p>
    <w:p>
      <w:r>
        <w:t>研究所に係る通則法第三十五条の五第二項第八号の主務省令で定める業務運営に関する事項は、次のとおりとする。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法第十八条第一項（法附則第十二条第六項（法附則第十四条第二項において準用する場合を含む。）において準用する場合を含む。）に規定する積立金の処分に関する事項</w:t>
      </w:r>
    </w:p>
    <w:p>
      <w:pPr>
        <w:pStyle w:val="Heading4"/>
      </w:pPr>
      <w:r>
        <w:t>第七条（業務実績等報告書）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研究所は、前項に規定する報告書を厚生労働大臣及び内閣総理大臣に提出したときは、速やかに、当該報告書をインターネットの利用その他の適切な方法により公表するものとする。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項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当該期間における業務の実績。</w:t>
        <w:br/>
        <w:t>なお、当該業務の実績は、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前号に掲げる業務の実績について研究所が評価を行った結果。</w:t>
        <w:br/>
        <w:t>なお、当該評価を行った結果は、次のイからハまでに掲げる事項を明らかにしたものでなければならない。</w:t>
      </w:r>
    </w:p>
    <w:p>
      <w:pPr>
        <w:pStyle w:val="Heading5"/>
        <w:ind w:left="440"/>
      </w:pPr>
      <w:r>
        <w:t>２</w:t>
      </w:r>
    </w:p>
    <w:p>
      <w:pPr>
        <w:ind w:left="440"/>
      </w:pPr>
      <w:r>
        <w:t>研究所は、前項に規定する報告書を厚生労働大臣及び内閣総理大臣に提出したときは、速やかに、当該報告書をインターネットの利用その他の適切な方法により公表するものとする。</w:t>
      </w:r>
    </w:p>
    <w:p>
      <w:pPr>
        <w:pStyle w:val="Heading4"/>
      </w:pPr>
      <w:r>
        <w:t>第九条（年度計画）</w:t>
      </w:r>
    </w:p>
    <w:p>
      <w:r>
        <w:t>研究所に係る通則法第三十五条の八において準用する通則法第三十一条第一項に規定する年度計画には、中長期計画に定めた事項に関し、当該事業年度において実施すべき事項を記載しなければならない。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準用する通則法第三十一条第一項後段の規定により年度計画の変更をしたときは、変更した事項及びその理由を記載した届出書を厚生労働大臣（当該変更が法第十五条第二項第二号から第四号までに規定する業務に係るものである場合には、厚生労働大臣及び内閣総理大臣）に提出しなければならない。</w:t>
      </w:r>
    </w:p>
    <w:p>
      <w:pPr>
        <w:pStyle w:val="Heading4"/>
      </w:pPr>
      <w:r>
        <w:t>第十条（企業会計原則等）</w:t>
      </w:r>
    </w:p>
    <w:p>
      <w:r>
        <w:t>研究所の会計については、この命令の定めるところによるものとし、この命令に定めのないものについては、一般に公正妥当と認められる企業会計の基準に従うものとする。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命令に準ずるものとして、第一項に規定する一般に公正妥当と認められる企業会計の基準に優先して適用されるものとする。</w:t>
      </w:r>
    </w:p>
    <w:p>
      <w:pPr>
        <w:pStyle w:val="Heading4"/>
      </w:pPr>
      <w:r>
        <w:t>第十一条（償却資産の指定等）</w:t>
      </w:r>
    </w:p>
    <w:p>
      <w:r>
        <w:t>厚生労働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厚生労働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第十三条（対応する収益の獲得が予定されない資産除去債務に係る除去費用等）</w:t>
      </w:r>
    </w:p>
    <w:p>
      <w:r>
        <w:t>厚生労働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第十四条（財務諸表）</w:t>
      </w:r>
    </w:p>
    <w:p>
      <w:r>
        <w:t>研究所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業務の適正な評価に資する情報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第十六条（財務諸表等の閲覧期間）</w:t>
      </w:r>
    </w:p>
    <w:p>
      <w:r>
        <w:t>研究所に係る通則法第三十八条第三項の主務省令で定める期間は、五年とする。</w:t>
      </w:r>
    </w:p>
    <w:p>
      <w:pPr>
        <w:pStyle w:val="Heading4"/>
      </w:pPr>
      <w:r>
        <w:t>第十七条（通則法第三十八条第四項の主務省令で定める書類）</w:t>
      </w:r>
    </w:p>
    <w:p>
      <w:r>
        <w:t>研究所に係る通則法第三十八条第四項の主務省令で定める書類は、独立行政法人会計基準に定める連結貸借対照表、連結損益計算書、連結キャッシュ・フロー計算書、連結剰余金計算書及び連結附属明細書とする。</w:t>
      </w:r>
    </w:p>
    <w:p>
      <w:pPr>
        <w:pStyle w:val="Heading4"/>
      </w:pPr>
      <w:r>
        <w:t>第十八条（会計監査報告の作成）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研究所の役員（監事を除く。）及び職員</w:t>
      </w:r>
    </w:p>
    <w:p>
      <w:pPr>
        <w:pStyle w:val="ListBullet"/>
        <w:ind w:left="880"/>
      </w:pPr>
      <w:r>
        <w:t>二</w:t>
        <w:br/>
        <w:t>研究所の子法人の取締役、会計参与、執行役、業務を執行する社員、会社法第五百九十八条第一項の職務を行うべき者その他これらの者に相当する者及び使用人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第十九条（積立金の処分に係る承認申請書の添付書類）</w:t>
      </w:r>
    </w:p>
    <w:p>
      <w:r>
        <w:t>令第一条第二項（令附則第九条（令附則第十二条において準用する場合を含む。）において準用する場合を含む。）の厚生労働省令で定める書類は、承認を受けようとする金額の計算の基礎を明らかにした書類とする。</w:t>
      </w:r>
    </w:p>
    <w:p>
      <w:pPr>
        <w:pStyle w:val="Heading4"/>
      </w:pPr>
      <w:r>
        <w:t>第二十条（短期借入金の認可の申請）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第二十一条（通則法第四十八条の主務省令で定める重要な財産）</w:t>
      </w:r>
    </w:p>
    <w:p>
      <w:r>
        <w:t>研究所に係る通則法第四十八条の主務省令で定める重要な財産は、厚生労働大臣が指定する財産とする。</w:t>
      </w:r>
    </w:p>
    <w:p>
      <w:pPr>
        <w:pStyle w:val="Heading4"/>
      </w:pPr>
      <w:r>
        <w:t>第二十二条（通則法第四十八条の主務省令で定める重要な財産の処分等の認可の申請）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第二十三条（内部組織）</w:t>
      </w:r>
    </w:p>
    <w:p>
      <w:r>
        <w:t>研究所に係る通則法第五十条の十一において準用する通則法第五十条の六第一号に規定する離職前五年間に在職していた当該国立研究開発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r>
        <w:br w:type="page"/>
      </w:r>
    </w:p>
    <w:p>
      <w:pPr>
        <w:pStyle w:val="Heading1"/>
      </w:pPr>
      <w:r>
        <w:t>附　則</w:t>
      </w:r>
    </w:p>
    <w:p>
      <w:pPr>
        <w:pStyle w:val="Heading4"/>
      </w:pPr>
      <w:r>
        <w:t>第一条（施行期日）</w:t>
      </w:r>
    </w:p>
    <w:p>
      <w:r>
        <w:t>この命令は、平成二十七年四月一日から施行する。</w:t>
      </w:r>
    </w:p>
    <w:p>
      <w:pPr>
        <w:pStyle w:val="Heading4"/>
      </w:pPr>
      <w:r>
        <w:t>第二条（職員の引継ぎに係る省令で定める国立医薬品食品衛生研究所及び国立感染症研究所の内部組織）</w:t>
      </w:r>
    </w:p>
    <w:p>
      <w:r>
        <w:t>令附則第二条に規定する厚生労働省令で定める国立医薬品食品衛生研究所及び国立感染症研究所の内部組織は、次のとおりとする。</w:t>
      </w:r>
    </w:p>
    <w:p>
      <w:pPr>
        <w:pStyle w:val="ListBullet"/>
        <w:ind w:left="880"/>
      </w:pPr>
      <w:r>
        <w:t>一</w:t>
        <w:br/>
        <w:t>国立医薬品食品衛生研究所</w:t>
        <w:br/>
        <w:br/>
        <w:br/>
        <w:t>安全性生物試験研究センター変異遺伝部の内部組織のうち厚生労働大臣が指定するもの、大阪支所及び薬用植物栽培試験場</w:t>
      </w:r>
    </w:p>
    <w:p>
      <w:pPr>
        <w:pStyle w:val="ListBullet"/>
        <w:ind w:left="880"/>
      </w:pPr>
      <w:r>
        <w:t>二</w:t>
        <w:br/>
        <w:t>国立感染症研究所</w:t>
        <w:br/>
        <w:br/>
        <w:br/>
        <w:t>獣医科学部の内部組織のうち厚生労働大臣が指定するもの及び筑波医学実験用霊長類センター</w:t>
      </w:r>
    </w:p>
    <w:p>
      <w:pPr>
        <w:pStyle w:val="Heading4"/>
      </w:pPr>
      <w:r>
        <w:t>第三条（業務方法書の記載事項の特例）</w:t>
      </w:r>
    </w:p>
    <w:p>
      <w:r>
        <w:t>研究所が法附則第十二条第一項から第三項までに規定する業務（以下「承継業務」という。）及び法附則第十四条第一項に規定する業務（以下「特例業務」という。）を行う場合には、研究所に係る通則法第二十八条第二項の主務省令で定める事項は、第四条に掲げる事項のほか、承継業務及び特例業務に関する事項とする。</w:t>
      </w:r>
    </w:p>
    <w:p>
      <w:pPr>
        <w:pStyle w:val="Heading4"/>
      </w:pPr>
      <w:r>
        <w:t>第四条（共通経費の配賦基準）</w:t>
      </w:r>
    </w:p>
    <w:p>
      <w:r>
        <w:t>法附則第十二条第四項（法附則第十四条第二項において準用する場合を含む。）の規定により特別の勘定を設けて経理する場合において、経理すべき事項が当該特別の勘定以外の勘定において経理すべき事項と共通の事項であるため、当該特別の勘定に係る部分を区分して経理することが困難なときは、当該事項については、厚生労働大臣の承認を受けて定める基準に従って、各勘定に配分することにより経理することができる。</w:t>
      </w:r>
    </w:p>
    <w:p>
      <w:pPr>
        <w:pStyle w:val="Heading4"/>
      </w:pPr>
      <w:r>
        <w:t>第五条（中長期計画の認可申請に係る経過措置）</w:t>
      </w:r>
    </w:p>
    <w:p>
      <w:r>
        <w:t>この命令の施行の日を含む事業年度を最初の事業年度とする中長期計画に係る第五条第一項の規定の適用については、同項中「当該中長期計画の最初の事業年度開始の日の三十日前までに」とあるのは、「平成二十七年四月一日以後最初の中長期目標の指示を受けた後遅滞なく」とする。</w:t>
      </w:r>
    </w:p>
    <w:p>
      <w:pPr>
        <w:pStyle w:val="Heading4"/>
      </w:pPr>
      <w:r>
        <w:t>第六条（独立行政法人国立健康・栄養研究所の解散の日の前日を含む事業年度及び中期目標の期間における業務実績の評価に関する経過措置）</w:t>
      </w:r>
    </w:p>
    <w:p>
      <w:r>
        <w:t>第七条の規定は、独立行政法人通則法の一部を改正する法律の施行に伴う関係法律の整備に関する法律（平成二十六年法律第六十七号）第百三十六条の規定による改正後の独立行政法人医薬基盤研究所法の一部を改正する法律（平成二十六年法律第三十八号。附則第八条において「改正法」という。）附則第二条第六項の規定により、国立研究開発法人医薬基盤・健康・栄養研究所が独立行政法人国立健康・栄養研究所の解散の日の前日を含む事業年度及び中期目標の期間における業務の実績について評価を受ける場合についても適用する。</w:t>
      </w:r>
    </w:p>
    <w:p>
      <w:pPr>
        <w:pStyle w:val="Heading4"/>
      </w:pPr>
      <w:r>
        <w:t>第七条（業務実績等報告書に関する経過措置）</w:t>
      </w:r>
    </w:p>
    <w:p>
      <w:r>
        <w:t>独立行政法人通則法の一部を改正する法律附則第十一条第二項の規定により同法の施行の日（以下この条において「施行日」という。）において国立研究開発法人となった独立行政法人の施行日の前日に終了した事業年度及び中期目標の期間に係る業務の実績に関する評価について同法による改正後の通則法第三十五条の六第三項の規定が適用される場合並びに前条の規定が適用される場合における第七条第一項の規定の適用については、同項の表一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同表三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pPr>
        <w:pStyle w:val="Heading4"/>
      </w:pPr>
      <w:r>
        <w:t>第八条（承継時の償却資産に関する経過措置）</w:t>
      </w:r>
    </w:p>
    <w:p>
      <w:r>
        <w:t>改正法による改正前の法第二条の独立行政法人医薬基盤研究所の成立の際法附則第八条第二項及び第十一条第三項の規定により政府から出資があったものとされた償却資産については、第十一条第一項の指定を受けたものとみなして、同条第二項の規定を適用する。</w:t>
      </w:r>
    </w:p>
    <w:p>
      <w:pPr>
        <w:pStyle w:val="Heading4"/>
      </w:pPr>
      <w:r>
        <w:t>第九条（事業報告書の作成に係る経過措置）</w:t>
      </w:r>
    </w:p>
    <w:p>
      <w:r>
        <w:t>第十五条第三項の規定は、平成二十七年四月一日以後に開始する事業年度に係る事業報告書から適用する。</w:t>
      </w:r>
    </w:p>
    <w:p>
      <w:r>
        <w:br w:type="page"/>
      </w:r>
    </w:p>
    <w:p>
      <w:pPr>
        <w:pStyle w:val="Heading1"/>
      </w:pPr>
      <w:r>
        <w:t>附則（平成三一年一月一七日内閣府・厚生労働省令第一号）</w:t>
      </w:r>
    </w:p>
    <w:p>
      <w:r>
        <w:t>この命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r>
        <w:br w:type="page"/>
      </w:r>
    </w:p>
    <w:p>
      <w:pPr>
        <w:pStyle w:val="Heading1"/>
      </w:pPr>
      <w:r>
        <w:t>附則（平成三一年三月二九日内閣府・厚生労働省令第三号）</w:t>
      </w:r>
    </w:p>
    <w:p>
      <w:pPr>
        <w:pStyle w:val="Heading5"/>
        <w:ind w:left="440"/>
      </w:pPr>
      <w:r>
        <w:t>１</w:t>
      </w:r>
    </w:p>
    <w:p>
      <w:pPr>
        <w:ind w:left="440"/>
      </w:pPr>
      <w:r>
        <w:t>この命令は、平成三十一年四月一日から施行する。</w:t>
      </w:r>
    </w:p>
    <w:p>
      <w:pPr>
        <w:pStyle w:val="Heading5"/>
        <w:ind w:left="440"/>
      </w:pPr>
      <w:r>
        <w:t>２</w:t>
      </w:r>
    </w:p>
    <w:p>
      <w:pPr>
        <w:ind w:left="440"/>
      </w:pPr>
      <w:r>
        <w:t>この命令による改正後の国立研究開発法人医薬基盤・健康・栄養研究所の業務運営、財務及び会計並びに人事管理に関する命令第十四条及び第十五条の規定は、平成三十一年四月一日以後に開始する事業年度に係る財務諸表（独立行政法人通則法（平成十一年法律第百三号）第三十八条第一項に規定する財務諸表をいう。以下この項において同じ。）及び事業報告書（同法第三十八条第二項に規定する事業報告書をいう。以下この項において同じ。）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国立研究開発法人医薬基盤・健康・栄養研究所の業務運営、財務及び会計並びに人事管理に関する命令</w:t>
      <w:br/>
      <w:tab/>
      <w:t>（平成二十七年内閣府・厚生労働省令第四号）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国立研究開発法人医薬基盤・健康・栄養研究所の業務運営、財務及び会計並びに人事管理に関する命令（平成二十七年内閣府・厚生労働省令第四号）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