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国立研究開発法人国際農林水産業研究センターの業務運営、財務及び会計並びに人事管理に関する省令</w:t>
        <w:br/>
        <w:t>（平成十三年農林水産省令第四十七号）</w:t>
      </w:r>
    </w:p>
    <w:p>
      <w:pPr>
        <w:pStyle w:val="Heading4"/>
      </w:pPr>
      <w:r>
        <w:t>第一条（通則法第八条第三項の主務省令で定める重要な財産）</w:t>
      </w:r>
    </w:p>
    <w:p>
      <w:r>
        <w:t>国立研究開発法人国際農林水産業研究センター（以下「センター」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センターに係る通則法第十九条第四項の規定による監査報告の作成については、この条の定めるところによる。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センターの役員及び職員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センターの役員の職務の執行が法令等に適合することを確保するための体制その他センターの業務の適正を確保するための体制の整備及び運用についての意見</w:t>
      </w:r>
    </w:p>
    <w:p>
      <w:pPr>
        <w:pStyle w:val="ListBullet"/>
        <w:ind w:left="880"/>
      </w:pPr>
      <w:r>
        <w:t>四</w:t>
        <w:br/>
        <w:t>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センターに係る通則法第十九条第六項第二号の主務省令で定める書類は、国立研究開発法人国際農林水産業研究センター法（平成十一年法律第百九十七号。以下「センター法」という。）の規定に基づき農林水産大臣に提出する書類とする。</w:t>
      </w:r>
    </w:p>
    <w:p>
      <w:pPr>
        <w:pStyle w:val="Heading4"/>
      </w:pPr>
      <w:r>
        <w:t>第四条（業務方法書の記載事項）</w:t>
      </w:r>
    </w:p>
    <w:p>
      <w:r>
        <w:t>センターに係る通則法第二十八条第二項の主務省令で定める業務方法書に記載すべき事項は、次のとおりとする。</w:t>
      </w:r>
    </w:p>
    <w:p>
      <w:pPr>
        <w:pStyle w:val="ListBullet"/>
        <w:ind w:left="880"/>
      </w:pPr>
      <w:r>
        <w:t>一</w:t>
        <w:br/>
        <w:t>センター法第十一条第一号から第三号までに掲げる業務に関する事項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その他センターの業務の執行に関して必要な事項</w:t>
      </w:r>
    </w:p>
    <w:p>
      <w:pPr>
        <w:pStyle w:val="Heading4"/>
      </w:pPr>
      <w:r>
        <w:t>第五条（中長期計画の認可の申請）</w:t>
      </w:r>
    </w:p>
    <w:p>
      <w:r>
        <w:t>センターは、通則法第三十五条の五第一項の規定により中長期計画の認可を受けようとするときは、中長期計画を記載した申請書を、当該中長期計画の最初の事業年度開始の日の三十日前までに、農林水産大臣に提出しなければならない。</w:t>
      </w:r>
    </w:p>
    <w:p>
      <w:pPr>
        <w:pStyle w:val="Heading5"/>
        <w:ind w:left="440"/>
      </w:pPr>
      <w:r>
        <w:t>２</w:t>
      </w:r>
    </w:p>
    <w:p>
      <w:pPr>
        <w:ind w:left="440"/>
      </w:pPr>
      <w:r>
        <w:t>センターは、通則法第三十五条の五第一項後段の規定により中長期計画の変更の認可を受けようとするときは、変更しようとする事項及びその理由を記載した申請書を農林水産大臣に提出しなければならない。</w:t>
      </w:r>
    </w:p>
    <w:p>
      <w:pPr>
        <w:pStyle w:val="Heading4"/>
      </w:pPr>
      <w:r>
        <w:t>第六条（中長期計画に定めるべき業務運営に関する事項）</w:t>
      </w:r>
    </w:p>
    <w:p>
      <w:r>
        <w:t>センターに係る通則法第三十五条の五第二項第八号の主務省令で定める業務運営に関する事項は、次のとおりとする。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センター法第十二条第一項に規定する積立金の処分に関する事項</w:t>
      </w:r>
    </w:p>
    <w:p>
      <w:pPr>
        <w:pStyle w:val="ListBullet"/>
        <w:ind w:left="880"/>
      </w:pPr>
      <w:r>
        <w:t>四</w:t>
        <w:br/>
        <w:t>その他当該中長期目標を達成するために必要な事項</w:t>
      </w:r>
    </w:p>
    <w:p>
      <w:pPr>
        <w:pStyle w:val="Heading4"/>
      </w:pPr>
      <w:r>
        <w:t>第七条（年度計画に定めるべき事項等）</w:t>
      </w:r>
    </w:p>
    <w:p>
      <w:r>
        <w:t>年度計画においては、中長期計画に定めた事項に関し、当該事業年度において実施すべき事項を記載しなければならない。</w:t>
      </w:r>
    </w:p>
    <w:p>
      <w:pPr>
        <w:pStyle w:val="Heading5"/>
        <w:ind w:left="440"/>
      </w:pPr>
      <w:r>
        <w:t>２</w:t>
      </w:r>
    </w:p>
    <w:p>
      <w:pPr>
        <w:ind w:left="440"/>
      </w:pPr>
      <w:r>
        <w:t>センターは、通則法第三十五条の八の規定において読み替えて準用する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センターに係る通則法第三十五条の六第三項の報告書には、当該報告書が次の表の上欄に掲げる報告書のいずれに該当するかに応じ、同表の下欄に掲げる事項を記載しなければならない。</w:t>
        <w:br/>
        <w:t>その際、センターは、当該報告書が同条第一項の評価の根拠となる情報を提供するために作成されるものであることに留意しつつ、センターの事務及び事業の性質、内容等に応じて区分して同欄に掲げる事項を記載するものとする。</w:t>
      </w:r>
    </w:p>
    <w:p>
      <w:pPr>
        <w:pStyle w:val="Heading5"/>
        <w:ind w:left="440"/>
      </w:pPr>
      <w:r>
        <w:t>２</w:t>
      </w:r>
    </w:p>
    <w:p>
      <w:pPr>
        <w:ind w:left="440"/>
      </w:pPr>
      <w:r>
        <w:t>センターに係る通則法第三十五条の六第三項の規定による公表は、同項の規定による報告書の提出後、速やかに、インターネットの利用その他の適切な方法により行うものとする。</w:t>
      </w:r>
    </w:p>
    <w:p>
      <w:pPr>
        <w:pStyle w:val="Heading4"/>
      </w:pPr>
      <w:r>
        <w:t>第九条（最初の国立研究開発法人の長の任期の終了時における業務実績等報告書）</w:t>
      </w:r>
    </w:p>
    <w:p>
      <w:r>
        <w:t>センターに係る通則法第三十五条の六第四項の報告書には、次に掲げる事項を記載しなければならない。</w:t>
        <w:br/>
        <w:t>その際、センターは、当該報告書が同条第二項の評価の根拠となる情報を提供するために作成されるものであることに留意しつつ、センター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前号に掲げる業務の実績についてセンターが評価を行った結果。</w:t>
        <w:br/>
        <w:t>なお、当該評価を行った結果は、次のイからハまでに掲げる事項を明らかにしたものでなければならない。</w:t>
      </w:r>
    </w:p>
    <w:p>
      <w:pPr>
        <w:pStyle w:val="Heading5"/>
        <w:ind w:left="440"/>
      </w:pPr>
      <w:r>
        <w:t>２</w:t>
      </w:r>
    </w:p>
    <w:p>
      <w:pPr>
        <w:ind w:left="440"/>
      </w:pPr>
      <w:r>
        <w:t>センターに係る通則法第三十五条の六第四項の規定による公表は、同項の規定による報告書の提出後、速やかに、インターネットの利用その他の適切な方法により行うものとする。</w:t>
      </w:r>
    </w:p>
    <w:p>
      <w:pPr>
        <w:pStyle w:val="Heading4"/>
      </w:pPr>
      <w:r>
        <w:t>第十条（企業会計原則）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四条において「独立行政法人会計基準」という。）は、この省令に準ずるものとして、第一項に規定する一般に公正妥当と認められる企業会計の基準に優先して適用されるものとする。</w:t>
      </w:r>
    </w:p>
    <w:p>
      <w:pPr>
        <w:pStyle w:val="Heading4"/>
      </w:pPr>
      <w:r>
        <w:t>第十一条（償却資産の指定等）</w:t>
      </w:r>
    </w:p>
    <w:p>
      <w:r>
        <w:t>農林水産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農林水産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第十三条（対応する収益の獲得が予定されない資産除去債務に係る除去費用等）</w:t>
      </w:r>
    </w:p>
    <w:p>
      <w:r>
        <w:t>農林水産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第十四条（財務諸表）</w:t>
      </w:r>
    </w:p>
    <w:p>
      <w:r>
        <w:t>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第十五条（事業報告書の作成）</w:t>
      </w:r>
    </w:p>
    <w:p>
      <w:r>
        <w:t>センターに係る通則法第三十八条第二項の規定による事業報告書の作成については、この条の定めるところによる。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センターの目的及び業務内容</w:t>
      </w:r>
    </w:p>
    <w:p>
      <w:pPr>
        <w:pStyle w:val="ListBullet"/>
        <w:ind w:left="880"/>
      </w:pPr>
      <w:r>
        <w:t>二</w:t>
        <w:br/>
        <w:t>国の政策におけるセンターの位置付け及び役割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センターに関する基礎的な情報</w:t>
      </w:r>
    </w:p>
    <w:p>
      <w:pPr>
        <w:pStyle w:val="Heading4"/>
      </w:pPr>
      <w:r>
        <w:t>第十六条（財務諸表等の閲覧期間）</w:t>
      </w:r>
    </w:p>
    <w:p>
      <w:r>
        <w:t>センターに係る通則法第三十八条第三項の主務省令で定める期間は、五年とする。</w:t>
      </w:r>
    </w:p>
    <w:p>
      <w:pPr>
        <w:pStyle w:val="Heading4"/>
      </w:pPr>
      <w:r>
        <w:t>第十七条（短期借入金の認可の申請）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第十八条（通則法第四十八条の主務省令で定める重要な財産）</w:t>
      </w:r>
    </w:p>
    <w:p>
      <w:r>
        <w:t>センターに係る通則法第四十八条の主務省令で定める重要な財産は、土地及び建物とする。</w:t>
      </w:r>
    </w:p>
    <w:p>
      <w:pPr>
        <w:pStyle w:val="Heading4"/>
      </w:pPr>
      <w:r>
        <w:t>第十九条（通則法第四十八条の主務省令で定める重要な財産の処分等の認可の申請）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処分等の種類並びに当該処分等に係る財産の内容及び評価額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センターの業務運営上支障がない旨及びその理由</w:t>
      </w:r>
    </w:p>
    <w:p>
      <w:pPr>
        <w:pStyle w:val="Heading4"/>
      </w:pPr>
      <w:r>
        <w:t>第二十条（積立金の処分に係る承認申請書の添付書類）</w:t>
      </w:r>
    </w:p>
    <w:p>
      <w:r>
        <w:t>センターに係る独立行政法人の組織、運営及び管理に係る共通的な事項に関する政令第二十一条第三項において準用する同条第二項の農林水産省令で定める書類は、同条第一項に規定する期間最後の事業年度の事業年度末の貸借対照表及び当該事業年度の損益計算書とする。</w:t>
      </w:r>
    </w:p>
    <w:p>
      <w:pPr>
        <w:pStyle w:val="Heading4"/>
      </w:pPr>
      <w:r>
        <w:t>第二十一条（内部組織）</w:t>
      </w:r>
    </w:p>
    <w:p>
      <w:r>
        <w:t>センター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センター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独立行政法人農林水産消費安全技術センターの業務運営並びに財務及び会計に関する省令第十四条及び第十五条第二項</w:t>
      </w:r>
    </w:p>
    <w:p>
      <w:pPr>
        <w:pStyle w:val="ListBullet"/>
        <w:ind w:left="880"/>
      </w:pPr>
      <w:r>
        <w:t>二</w:t>
        <w:br/>
        <w:t>独立行政法人家畜改良センターの業務運営、財務及び会計並びに人事管理に関する省令第十三条及び第十四条第二項</w:t>
      </w:r>
    </w:p>
    <w:p>
      <w:pPr>
        <w:pStyle w:val="ListBullet"/>
        <w:ind w:left="880"/>
      </w:pPr>
      <w:r>
        <w:t>三</w:t>
        <w:br/>
        <w:t>国立研究開発法人国際農林水産業研究センターの業務運営、財務及び会計並びに人事管理に関する省令第十四条及び第十五条第二項</w:t>
      </w:r>
    </w:p>
    <w:p>
      <w:pPr>
        <w:pStyle w:val="ListBullet"/>
        <w:ind w:left="880"/>
      </w:pPr>
      <w:r>
        <w:t>四</w:t>
        <w:br/>
        <w:t>国立研究開発法人森林研究・整備機構の業務運営、財務及び会計並びに人事管理に関する省令第十五条及び第十六条第二項</w:t>
      </w:r>
    </w:p>
    <w:p>
      <w:pPr>
        <w:pStyle w:val="ListBullet"/>
        <w:ind w:left="880"/>
      </w:pPr>
      <w:r>
        <w:t>五</w:t>
        <w:br/>
        <w:t>国立研究開発法人水産研究・教育機構の業務運営、財務及び会計並びに人事管理に関する省令第十六条及び第十七条第二項</w:t>
      </w:r>
    </w:p>
    <w:p>
      <w:pPr>
        <w:pStyle w:val="ListBullet"/>
        <w:ind w:left="880"/>
      </w:pPr>
      <w:r>
        <w:t>六</w:t>
        <w:br/>
        <w:t>国立研究開発法人農業・食品産業技術総合研究機構の農業・食品産業技術研究等業務及び農業機械化促進業務に係る財務及び会計並びに人事管理に関する省令第九条及び第十条第二項</w:t>
      </w:r>
    </w:p>
    <w:p>
      <w:pPr>
        <w:pStyle w:val="ListBullet"/>
        <w:ind w:left="880"/>
      </w:pPr>
      <w:r>
        <w:t>七</w:t>
        <w:br/>
        <w:t>独立行政法人農業者年金基金の業務運営、財務及び会計並びに人事管理に関する省令第十三条第一項及び第十四条第二項</w:t>
      </w:r>
    </w:p>
    <w:p>
      <w:pPr>
        <w:pStyle w:val="ListBullet"/>
        <w:ind w:left="880"/>
      </w:pPr>
      <w:r>
        <w:t>八</w:t>
        <w:br/>
        <w:t>独立行政法人農畜産業振興機構の業務運営、財務及び会計並びに人事管理に関する省令第十六条及び第十七条第二項</w:t>
      </w:r>
    </w:p>
    <w:p>
      <w:pPr>
        <w:pStyle w:val="ListBullet"/>
        <w:ind w:left="880"/>
      </w:pPr>
      <w:r>
        <w:t>九</w:t>
        <w:br/>
        <w:t>独立行政法人農林漁業信用基金の農業保険関係業務及び漁業災害補償関係業務に係る財務及び会計に関する省令第七条及び第八条第二項</w:t>
      </w:r>
    </w:p>
    <w:p>
      <w:r>
        <w:br w:type="page"/>
      </w:r>
    </w:p>
    <w:p>
      <w:pPr>
        <w:pStyle w:val="Heading1"/>
      </w:pPr>
      <w:r>
        <w:t>附則（令和元年五月二七日農林水産省令第五号）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国立研究開発法人国際農林水産業研究センターの業務運営、財務及び会計並びに人事管理に関する省令</w:t>
      <w:br/>
      <w:tab/>
      <w:t>（平成十三年農林水産省令第四十七号）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国立研究開発法人国際農林水産業研究センターの業務運営、財務及び会計並びに人事管理に関する省令（平成十三年農林水産省令第四十七号）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