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国立研究開発法人国際農林水産業研究センター法</w:t>
        <w:br/>
        <w:t>（平成十一年法律第百九十七号）</w:t>
      </w:r>
    </w:p>
    <w:p>
      <w:pPr>
        <w:pStyle w:val="Heading2"/>
      </w:pPr>
      <w:r>
        <w:t>第一章　総則</w:t>
      </w:r>
    </w:p>
    <w:p>
      <w:pPr>
        <w:pStyle w:val="Heading4"/>
      </w:pPr>
      <w:r>
        <w:t>第一条（目的）</w:t>
      </w:r>
    </w:p>
    <w:p>
      <w:r>
        <w:t>この法律は、国立研究開発法人国際農林水産業研究センターの名称、目的、業務の範囲等に関する事項を定めることを目的とする。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国際農林水産業研究センターとする。</w:t>
      </w:r>
    </w:p>
    <w:p>
      <w:pPr>
        <w:pStyle w:val="Heading4"/>
      </w:pPr>
      <w:r>
        <w:t>第三条（センターの目的）</w:t>
      </w:r>
    </w:p>
    <w:p>
      <w:r>
        <w:t>国立研究開発法人国際農林水産業研究センター（以下「センター」という。）は、熱帯又は亜熱帯に属する地域その他開発途上にある海外の地域における農林水産業に関する技術上の試験及び研究等を行うことにより、これらの地域における農林水産業に関する技術の向上に寄与することを目的とする。</w:t>
      </w:r>
    </w:p>
    <w:p>
      <w:pPr>
        <w:pStyle w:val="Heading4"/>
      </w:pPr>
      <w:r>
        <w:t>第三条の二（国立研究開発法人）</w:t>
      </w:r>
    </w:p>
    <w:p>
      <w:r>
        <w:t>センターは、通則法第二条第三項に規定する国立研究開発法人とする。</w:t>
      </w:r>
    </w:p>
    <w:p>
      <w:pPr>
        <w:pStyle w:val="Heading4"/>
      </w:pPr>
      <w:r>
        <w:t>第四条（事務所）</w:t>
      </w:r>
    </w:p>
    <w:p>
      <w:r>
        <w:t>センターは、主たる事務所を茨城県に置く。</w:t>
      </w:r>
    </w:p>
    <w:p>
      <w:pPr>
        <w:pStyle w:val="Heading4"/>
      </w:pPr>
      <w:r>
        <w:t>第五条（資本金）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センターに、役員として、理事一人を置くことができる。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センターの役員及び職員は、職務上知ることのできた秘密を漏らし、又は盗用してはならない。</w:t>
        <w:br/>
        <w:t>その職を退いた後も、同様とする。</w:t>
      </w:r>
    </w:p>
    <w:p>
      <w:pPr>
        <w:pStyle w:val="Heading4"/>
      </w:pPr>
      <w:r>
        <w:t>第十条（役員及び職員の地位）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センターは、第三条の目的を達成するため、次の業務を行う。</w:t>
      </w:r>
    </w:p>
    <w:p>
      <w:pPr>
        <w:pStyle w:val="ListBullet"/>
        <w:ind w:left="880"/>
      </w:pPr>
      <w:r>
        <w:t>一</w:t>
        <w:br/>
        <w:t>熱帯又は亜熱帯に属する地域その他開発途上にある海外の地域における農林水産業に関する技術上の試験及び研究、調査、分析、鑑定並びに講習を行うこと。</w:t>
      </w:r>
    </w:p>
    <w:p>
      <w:pPr>
        <w:pStyle w:val="ListBullet"/>
        <w:ind w:left="880"/>
      </w:pPr>
      <w:r>
        <w:t>二</w:t>
        <w:br/>
        <w:t>前号の地域における農林水産業に関する内外の資料の収集、整理及び提供を行うこと。</w:t>
      </w:r>
    </w:p>
    <w:p>
      <w:pPr>
        <w:pStyle w:val="ListBullet"/>
        <w:ind w:left="880"/>
      </w:pPr>
      <w:r>
        <w:t>三</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四</w:t>
        <w:br/>
        <w:t>前三号の業務に附帯する業務を行うこと。</w:t>
      </w:r>
    </w:p>
    <w:p>
      <w:pPr>
        <w:pStyle w:val="Heading4"/>
      </w:pPr>
      <w:r>
        <w:t>第十一条の二（株式等の取得及び保有）</w:t>
      </w:r>
    </w:p>
    <w:p>
      <w:r>
        <w:t>センターは、科学技術・イノベーション創出の活性化に関する法律第三十四条の五第一項及び第二項の規定による株式又は新株予約権の取得及び保有を行うことができる。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センター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センターに係る通則法における主務大臣及び主務省令は、それぞれ農林水産大臣及び農林水産省令とする。</w:t>
      </w:r>
    </w:p>
    <w:p>
      <w:pPr>
        <w:pStyle w:val="Heading2"/>
      </w:pPr>
      <w:r>
        <w:t>第五章　罰則</w:t>
      </w:r>
    </w:p>
    <w:p>
      <w:pPr>
        <w:pStyle w:val="Heading4"/>
      </w:pPr>
      <w:r>
        <w:t>第十四条</w:t>
      </w:r>
    </w:p>
    <w:p>
      <w:r>
        <w:t>第九条の規定に違反して秘密を漏らし、又は盗用した者は、一年以下の懲役又は三十万円以下の罰金に処する。</w:t>
      </w:r>
    </w:p>
    <w:p>
      <w:pPr>
        <w:pStyle w:val="Heading4"/>
      </w:pPr>
      <w:r>
        <w:t>第十五条</w:t>
      </w:r>
    </w:p>
    <w:p>
      <w:r>
        <w:t>次の各号のいずれかに該当する場合には、その違反行為をしたセンターの役員は、二十万円以下の過料に処する。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第十二条第一項の規定により農林水産大臣の承認を受けなければならない場合において、その承認を受けなかったとき。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br/>
        <w:t>ただし、附則第九条第二項及び第三項、第十七条第二項並びに第二十三条の規定は、公布の日から施行する。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br/>
        <w:t>ただし、その者が当該施行日後の研究機構等を退職したことにより退職手当（これに相当する給付を含む。）の支給を受けているときは、この限りでない。</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附則（平成一九年三月三〇日法律第八号）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国立研究開発法人国際農林水産業研究センター法</w:t>
      <w:br/>
      <w:tab/>
      <w:t>（平成十一年法律第百九十七号）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国立研究開発法人国際農林水産業研究センター法（平成十一年法律第百九十七号）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