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国立研究開発法人宇宙航空研究開発機構の人事管理に関する省令</w:t>
        <w:br/>
        <w:t>（平成二十七年文部科学省令第十七号）</w:t>
      </w:r>
    </w:p>
    <w:p>
      <w:pPr>
        <w:pStyle w:val="Heading4"/>
      </w:pPr>
      <w:r>
        <w:t>第一条（内部組織）</w:t>
      </w:r>
    </w:p>
    <w:p>
      <w:r>
        <w:t>国立研究開発法人宇宙航空研究開発機構（以下「機構」という。）に係る独立行政法人通則法（以下「通則法」という。）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第二条（管理又は監督の地位）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r>
        <w:br w:type="page"/>
      </w:r>
    </w:p>
    <w:p>
      <w:pPr>
        <w:pStyle w:val="Heading1"/>
      </w:pPr>
      <w:r>
        <w:t>附　則</w:t>
      </w:r>
    </w:p>
    <w:p>
      <w:r>
        <w:t>この省令は、独立行政法人通則法の一部を改正する法律の施行の日（平成二十七年四月一日）から施行する。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国立研究開発法人宇宙航空研究開発機構の人事管理に関する省令</w:t>
      <w:br/>
      <w:tab/>
      <w:t>（平成二十七年文部科学省令第十七号）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国立研究開発法人宇宙航空研究開発機構の人事管理に関する省令（平成二十七年文部科学省令第十七号）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