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国立研究開発法人建築研究所法第十二条第五号の公共的団体を定める政令</w:t>
        <w:br/>
        <w:t>（平成十二年政令第三百二十九号）</w:t>
      </w:r>
    </w:p>
    <w:p>
      <w:r>
        <w:t>国立研究開発法人建築研究所法（平成十一年法律第二百六号）第十二条第五号の政令で定める公共的団体は、独立行政法人、高速道路株式会社法（平成十六年法律第九十九号）第一条に規定する会社又は国家公務員共済組合若しくは国家公務員共済組合連合会とする。</w:t>
      </w:r>
    </w:p>
    <w:p>
      <w:r>
        <w:br w:type="page"/>
      </w:r>
    </w:p>
    <w:p>
      <w:pPr>
        <w:pStyle w:val="Heading1"/>
      </w:pPr>
      <w:r>
        <w:t>附　則</w:t>
      </w:r>
    </w:p>
    <w:p>
      <w:r>
        <w:t>この政令は、平成十三年四月一日から施行する。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r>
        <w:br w:type="page"/>
      </w:r>
    </w:p>
    <w:p>
      <w:pPr>
        <w:pStyle w:val="Heading1"/>
      </w:pPr>
      <w:r>
        <w:t>附　則（平成一五年八月八日政令第三七〇号）</w:t>
      </w:r>
    </w:p>
    <w:p>
      <w:pPr>
        <w:pStyle w:val="Heading4"/>
      </w:pPr>
      <w:r>
        <w:t>第一条（施行期日）</w:t>
      </w:r>
    </w:p>
    <w:p>
      <w:r>
        <w:t>この政令は、公布の日から施行する。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則（平成一五年一二月二五日政令第五五六号）</w:t>
      </w:r>
    </w:p>
    <w:p>
      <w:pPr>
        <w:pStyle w:val="Heading4"/>
      </w:pPr>
      <w:r>
        <w:t>第一条（施行期日）</w:t>
      </w:r>
    </w:p>
    <w:p>
      <w:r>
        <w:t>この政令は、公布の日から施行する。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国立研究開発法人建築研究所法第十二条第五号の公共的団体を定める政令</w:t>
      <w:br/>
      <w:tab/>
      <w:t>（平成十二年政令第三百二十九号）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国立研究開発法人建築研究所法第十二条第五号の公共的団体を定める政令（平成十二年政令第三百二十九号）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