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国立研究開発法人日本原子力研究開発機構の財務及び会計等に関する省令</w:t>
        <w:br/>
        <w:t>（平成十七年文部科学省・経済産業省令第二号）</w:t>
      </w:r>
    </w:p>
    <w:p>
      <w:pPr>
        <w:pStyle w:val="Heading4"/>
      </w:pPr>
      <w:r>
        <w:t>第一条（通則法第八条第三項に規定する主務省令で定める重要な財産）</w:t>
      </w:r>
    </w:p>
    <w:p>
      <w:r>
        <w:t>国立研究開発法人日本原子力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第二条（文部科学省令・経済産業省令で定める加工施設）</w:t>
      </w:r>
    </w:p>
    <w:p>
      <w:r>
        <w:t>国立研究開発法人日本原子力研究開発機構法施行令（平成十七年政令第二百二十四号）第七条第一号の文部科学省令・経済産業省令で定める加工施設は、軽水型実用発電用原子炉において使用される混合酸化物燃料（ウランの酸化物及びプルトニウムの酸化物を含む核燃料物質をいう。）の加工施設及び実用ウラン濃縮施設とする。</w:t>
      </w:r>
    </w:p>
    <w:p>
      <w:pPr>
        <w:pStyle w:val="Heading4"/>
      </w:pPr>
      <w:r>
        <w:t>第三条（会計処理）</w:t>
      </w:r>
    </w:p>
    <w:p>
      <w:r>
        <w:t>機構が業務のため取得しようとしている償却資産についてその減価に対応すべき収益の獲得が予定されないと認められる場合には、文部科学大臣（当該償却資産が国立研究開発法人日本原子力研究開発機構法（平成十六年法律第百五十五号。以下「機構法」という。）第十七条第一項に規定する業務のうち、同項第三号に掲げるもの及びこれに関連する同項第四号に掲げるもの（これらに附帯する業務を含む。以下「核燃料サイクル開発業務」という。）のため取得しようとしているものである場合には、文部科学大臣及び経済産業大臣）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第四条（対応する収益の獲得が予定されない資産除去債務に係る除去費用等）</w:t>
      </w:r>
    </w:p>
    <w:p>
      <w:r>
        <w:t>文部科学大臣（機構が業務のため保有し又は取得しようとしている有形固定資産が核燃料サイクル開発業務に係るものである場合には、文部科学大臣及び経済産業大臣）は、当該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第五条（譲渡差額を損益計算上の損益に計上しない譲渡取引）</w:t>
      </w:r>
    </w:p>
    <w:p>
      <w:r>
        <w:t>文部科学大臣（通則法第八条第三項に規定する不要財産が核燃料サイクル開発業務に係るものである場合には、文部科学大臣及び経済産業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第五条の二（対応する収益の獲得が予定されない承継資産）</w:t>
      </w:r>
    </w:p>
    <w:p>
      <w:r>
        <w:t>文部科学大臣（機構が承継する資産が核燃料サイクル開発業務に係るものである場合には、文部科学大臣及び経済産業大臣）は、機構が承継する現金及び預金、棚卸資産、仮払金、前払金、前払費用、未収金並びに敷金・保証金（以下この条において「現金及び預金等」という。）について当該現金及び預金等から生ずる費用に相当する額（以下「費用相当額」という。）に対応すべき収益の獲得が予定されないと認められる場合には、その承継までの間に限り、当該現金及び預金等を指定することができる。</w:t>
      </w:r>
    </w:p>
    <w:p>
      <w:pPr>
        <w:pStyle w:val="Heading5"/>
        <w:ind w:left="440"/>
      </w:pPr>
      <w:r>
        <w:t>２</w:t>
      </w:r>
    </w:p>
    <w:p>
      <w:pPr>
        <w:ind w:left="440"/>
      </w:pPr>
      <w:r>
        <w:t>前項の指定を受けた現金及び預金等に係る費用相当額については、費用は計上せず、費用相当額と同額を資本剰余金に対する控除として計上するものとする。</w:t>
      </w:r>
    </w:p>
    <w:p>
      <w:pPr>
        <w:pStyle w:val="Heading4"/>
      </w:pPr>
      <w:r>
        <w:t>第六条（財務諸表）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第六条の二（事業報告書の作成）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第七条（財務諸表の閲覧期間）</w:t>
      </w:r>
    </w:p>
    <w:p>
      <w:r>
        <w:t>機構に係る通則法第三十八条第三項に規定する主務省令で定める期間は、五年とする。</w:t>
      </w:r>
    </w:p>
    <w:p>
      <w:pPr>
        <w:pStyle w:val="Heading4"/>
      </w:pPr>
      <w:r>
        <w:t>第七条の二（通則法第三十八条第四項に規定する主務省令で定める書類）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第七条の三（会計監査報告の作成）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第八条（不要財産に係る民間等出資の払戻しの認可の申請）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当該不要財産が核燃料サイクル開発業務に係るものである場合には、文部科学大臣及び経済産業大臣。以下この条において同じ。）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通則法第四十六条の三第一項の規定により、当該不要財産に係る出資額として文部科学大臣が定める額の持分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第九条（中長期計画に定めた不要財産の払戻しの催告に係る通知）</w:t>
      </w:r>
    </w:p>
    <w:p>
      <w:r>
        <w:t>機構は、通則法第四十四条第三項の中長期計画において通則法第三十五条の五第二項第五号の計画を定めた場合において、通則法第四十六条の三第一項の規定により、民間等出資に係る不要財産について、出資者に対し当該民間等出資に係る不要財産に係る出資額として文部科学大臣（当該不要財産が核燃料サイクル開発業務に係るものである場合には、文部科学大臣及び経済産業大臣。以下この条において同じ。）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第十条（催告の方法）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文部科学大臣（当該不要財産が核燃料サイクル開発業務に係るものである場合には、文部科学大臣及び経済産業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第十一条（民間等出資に係る不要財産の譲渡の報告等）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当該不要財産が核燃料サイクル開発業務に係るものである場合には、文部科学大臣及び経済産業大臣。以下この条において同じ。）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第十二条（資本金の減少の報告）</w:t>
      </w:r>
    </w:p>
    <w:p>
      <w:r>
        <w:t>機構は、通則法第四十六条の三第四項の規定により資本金を減少したときは、遅滞なく、その旨を文部科学大臣及び経済産業大臣に報告するものとする。</w:t>
      </w:r>
    </w:p>
    <w:p>
      <w:pPr>
        <w:pStyle w:val="Heading4"/>
      </w:pPr>
      <w:r>
        <w:t>第十三条（長期借入金の認可の申請）</w:t>
      </w:r>
    </w:p>
    <w:p>
      <w:r>
        <w:t>機構は、機構法第二十二条第一項の規定により長期借入金の認可を受けようとするときは、次に掲げる事項を記載した申請書を文部科学大臣及び経済産業大臣に提出しなければならない。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第十四条（償還計画の認可の申請）</w:t>
      </w:r>
    </w:p>
    <w:p>
      <w:r>
        <w:t>機構は、機構法第二十四条の規定により償還計画の認可を受けようとするときは、通則法第三十五条の八において準用する通則法第三十一条第一項前段の規定により年度計画を届け出た後遅滞なく、次に掲げる事項を記載した申請書を文部科学大臣及び経済産業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日本原子力研究開発機構債券の総額及び当該事業年度における発行見込額並びに発行の方法</w:t>
      </w:r>
    </w:p>
    <w:p>
      <w:pPr>
        <w:pStyle w:val="ListBullet"/>
        <w:ind w:left="880"/>
      </w:pPr>
      <w:r>
        <w:t>三</w:t>
        <w:br/>
        <w:t>長期借入金及び日本原子力研究開発機構債券の償還の方法及び期限</w:t>
      </w:r>
    </w:p>
    <w:p>
      <w:pPr>
        <w:pStyle w:val="ListBullet"/>
        <w:ind w:left="880"/>
      </w:pPr>
      <w:r>
        <w:t>四</w:t>
        <w:br/>
        <w:t>その他必要な事項</w:t>
      </w:r>
    </w:p>
    <w:p>
      <w:pPr>
        <w:pStyle w:val="Heading4"/>
      </w:pPr>
      <w:r>
        <w:t>第十五条（通則法第四十八条に規定する主務省令で定める重要な財産）</w:t>
      </w:r>
    </w:p>
    <w:p>
      <w:r>
        <w:t>機構に係る通則法第四十八条に規定する主務省令で定める重要な財産は、土地、建物、原子炉及び再処理設備並びに文部科学大臣（当該財産が核燃料サイクル開発業務に係るものである場合には、文部科学大臣及び経済産業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当該財産が核燃料サイクル開発業務に係るものである場合には、文部科学大臣及び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第十七条（増資の認可の申請）</w:t>
      </w:r>
    </w:p>
    <w:p>
      <w:r>
        <w:t>機構は、機構法第六条第二項の認可を受けようとするときは、次に掲げる事項を記載した申請書を文部科学大臣及び経済産業大臣に提出しなければならない。</w:t>
      </w:r>
    </w:p>
    <w:p>
      <w:pPr>
        <w:pStyle w:val="ListBullet"/>
        <w:ind w:left="880"/>
      </w:pPr>
      <w:r>
        <w:t>一</w:t>
        <w:br/>
        <w:t>増資金額</w:t>
      </w:r>
    </w:p>
    <w:p>
      <w:pPr>
        <w:pStyle w:val="ListBullet"/>
        <w:ind w:left="880"/>
      </w:pPr>
      <w:r>
        <w:t>二</w:t>
        <w:br/>
        <w:t>増資の理由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第十八条（積立金の処分に係る申請書の添付書類）</w:t>
      </w:r>
    </w:p>
    <w:p>
      <w:r>
        <w:t>機構に係る独立行政法人の組織、運営及び管理に係る共通的な事項に関する政令第二十一条第三項において準用する同条第二項に規定する文部科学省令・経済産業省令で定める書類は、同条第三項において準用する同条第一項に規定する中長期目標の期間の最後の事業年度の事業年度末の貸借対照表及び当該事業年度の損益計算書とする。</w:t>
      </w:r>
    </w:p>
    <w:p>
      <w:r>
        <w:br w:type="page"/>
      </w:r>
    </w:p>
    <w:p>
      <w:pPr>
        <w:pStyle w:val="Heading1"/>
      </w:pPr>
      <w:r>
        <w:t>附　則</w:t>
      </w:r>
    </w:p>
    <w:p>
      <w:pPr>
        <w:pStyle w:val="Heading4"/>
      </w:pPr>
      <w:r>
        <w:t>第一条（施行期日）</w:t>
      </w:r>
    </w:p>
    <w:p>
      <w:r>
        <w:t>この省令は、公布の日から施行する。</w:t>
        <w:br/>
        <w:t>ただし、第十六条並びに附則第四条及び第五条の規定は、平成十七年十月一日から施行する。</w:t>
      </w:r>
    </w:p>
    <w:p>
      <w:pPr>
        <w:pStyle w:val="Heading4"/>
      </w:pPr>
      <w:r>
        <w:t>第二条</w:t>
      </w:r>
    </w:p>
    <w:p>
      <w:r>
        <w:t>削除</w:t>
      </w:r>
    </w:p>
    <w:p>
      <w:pPr>
        <w:pStyle w:val="Heading4"/>
      </w:pPr>
      <w:r>
        <w:t>第三条（成立の際の会計処理の特例）</w:t>
      </w:r>
    </w:p>
    <w:p>
      <w:r>
        <w:t>機構の成立の際機構法附則第二条第八項及び第九項並びに第三条第六項及び第七項の規定により機構に出資されたものとされる資産のうち償却資産については、第八条第一項の指定を受けたものとみなして、同条第二項の規定を適用する。</w:t>
      </w:r>
    </w:p>
    <w:p>
      <w:pPr>
        <w:pStyle w:val="Heading4"/>
      </w:pPr>
      <w:r>
        <w:t>第四条（核燃料サイクル開発機構法施行規則の廃止）</w:t>
      </w:r>
    </w:p>
    <w:p>
      <w:r>
        <w:t>核燃料サイクル開発機構法施行規則（昭和四十二年総理府令第四十六号）は、廃止する。</w:t>
      </w:r>
    </w:p>
    <w:p>
      <w:pPr>
        <w:pStyle w:val="Heading4"/>
      </w:pPr>
      <w:r>
        <w:t>第五条（電源開発促進対策特別会計法施行令第二条第一項第三号に規定する事務の区分を定める命令の一部改正）</w:t>
      </w:r>
    </w:p>
    <w:p>
      <w:r>
        <w:t>電源開発促進対策特別会計法施行令第二条第一項第三号に規定する事務の区分を定める命令（昭和五十年総理府／通商産業省令第三号）の一部を次のように改正する。</w:t>
      </w:r>
    </w:p>
    <w:p>
      <w:r>
        <w:br w:type="page"/>
      </w:r>
    </w:p>
    <w:p>
      <w:pPr>
        <w:pStyle w:val="Heading1"/>
      </w:pPr>
      <w:r>
        <w:t>附則（平成二〇年八月二九日文部科学省・経済産業省令第一号）</w:t>
      </w:r>
    </w:p>
    <w:p>
      <w:r>
        <w:t>この省令は、独立行政法人日本原子力研究開発機構法の一部を改正する法律（平成二十年法律第五十一号）の施行の日（平成二十年九月一日）から施行する。</w:t>
      </w:r>
    </w:p>
    <w:p>
      <w:r>
        <w:br w:type="page"/>
      </w:r>
    </w:p>
    <w:p>
      <w:pPr>
        <w:pStyle w:val="Heading1"/>
      </w:pPr>
      <w:r>
        <w:t>附則（平成二一年六月三〇日文部科学省・経済産業省令第二号）</w:t>
      </w:r>
    </w:p>
    <w:p>
      <w:r>
        <w:t>この省令は、平成二十一年七月一日から施行する。</w:t>
      </w:r>
    </w:p>
    <w:p>
      <w:r>
        <w:br w:type="page"/>
      </w:r>
    </w:p>
    <w:p>
      <w:pPr>
        <w:pStyle w:val="Heading1"/>
      </w:pPr>
      <w:r>
        <w:t>附則（平成二二年一一月二六日文部科学省・経済産業省令第二号）</w:t>
      </w:r>
    </w:p>
    <w:p>
      <w:r>
        <w:t>この省令は、独立行政法人通則法の一部を改正する法律の施行の日（平成二十二年十一月二十七日）から施行する。</w:t>
      </w:r>
    </w:p>
    <w:p>
      <w:r>
        <w:br w:type="page"/>
      </w:r>
    </w:p>
    <w:p>
      <w:pPr>
        <w:pStyle w:val="Heading1"/>
      </w:pPr>
      <w:r>
        <w:t>附則（平成二五年三月二九日文部科学省・経済産業省令第一号）</w:t>
      </w:r>
    </w:p>
    <w:p>
      <w:r>
        <w:t>この省令は、平成二十五年四月一日から施行する。</w:t>
      </w:r>
    </w:p>
    <w:p>
      <w:r>
        <w:br w:type="page"/>
      </w:r>
    </w:p>
    <w:p>
      <w:pPr>
        <w:pStyle w:val="Heading1"/>
      </w:pPr>
      <w:r>
        <w:t>附則（平成二七年三月三一日文部科学省・経済産業省令第一号）</w:t>
      </w:r>
    </w:p>
    <w:p>
      <w:pPr>
        <w:pStyle w:val="Heading4"/>
      </w:pPr>
      <w:r>
        <w:t>第一条（施行期日）</w:t>
      </w:r>
    </w:p>
    <w:p>
      <w:r>
        <w:t>この省令は、独立行政法人通則法の一部を改正する法律（次条において「通則法改正法」という。）の施行の日（平成二十七年四月一日）から施行する。</w:t>
      </w:r>
    </w:p>
    <w:p>
      <w:pPr>
        <w:pStyle w:val="Heading4"/>
      </w:pPr>
      <w:r>
        <w:t>第二条（事業報告書の作成に係る経過措置）</w:t>
      </w:r>
    </w:p>
    <w:p>
      <w:r>
        <w:t>この省令による改正後の国立研究開発法人日本原子力研究開発機構の財務及び会計等に関する省令（平成十七年文部科学省・経済産業省令第二号）第六条の二第三項の規定は、通則法改正法の施行の日以後に開始する事業年度に係る事業報告書から適用する。</w:t>
      </w:r>
    </w:p>
    <w:p>
      <w:r>
        <w:br w:type="page"/>
      </w:r>
    </w:p>
    <w:p>
      <w:pPr>
        <w:pStyle w:val="Heading1"/>
      </w:pPr>
      <w:r>
        <w:t>附則（令和元年六月一三日文部科学省・経済産業省令第一号）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国立研究開発法人日本原子力研究開発機構の財務及び会計等に関する省令第六条及び第六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附則（令和元年一二月二七日文部科学省・経済産業省令第四号）</w:t>
      </w:r>
    </w:p>
    <w:p>
      <w:pPr>
        <w:pStyle w:val="Heading4"/>
      </w:pPr>
      <w:r>
        <w:t>第一条（施行期日）</w:t>
      </w:r>
    </w:p>
    <w:p>
      <w:r>
        <w:t>この省令は、公布の日から施行する。</w:t>
      </w:r>
    </w:p>
    <w:p>
      <w:pPr>
        <w:pStyle w:val="Heading4"/>
      </w:pPr>
      <w:r>
        <w:t>第二条（対応する収益の獲得が予定されない承継資産に係る特例）</w:t>
      </w:r>
    </w:p>
    <w:p>
      <w:r>
        <w:t>国立研究開発法人日本原子力研究開発機構の成立の際、国立研究開発法人日本原子力研究開発機構法（平成十六年法律第百五十五号）附則第二条第九項及び第三条第七項の規定により国立研究開発法人日本原子力研究開発機構に出資されたものとされる資産のうち現金及び預金、棚卸資産、仮払金、前払金、前払費用、未収金並びに敷金・保証金については、この省令による改正後の国立研究開発法人日本原子力研究開発機構の財務及び会計等に関する省令第五条の二第一項の指定を受けたものとみなす。</w:t>
      </w:r>
    </w:p>
    <w:p>
      <w:r>
        <w:br w:type="page"/>
      </w:r>
    </w:p>
    <w:p>
      <w:pPr>
        <w:pStyle w:val="Heading1"/>
      </w:pPr>
      <w:r>
        <w:t>附則（令和三年三月三一日文部科学省・経済産業省令第一号）</w:t>
      </w:r>
    </w:p>
    <w:p>
      <w:pPr>
        <w:pStyle w:val="Heading4"/>
      </w:pPr>
      <w:r>
        <w:t>第一条（施行期日）</w:t>
      </w:r>
    </w:p>
    <w:p>
      <w:r>
        <w:t>この省令は、令和三年四月一日から施行する。</w:t>
      </w:r>
    </w:p>
    <w:p>
      <w:pPr>
        <w:pStyle w:val="Heading4"/>
      </w:pPr>
      <w:r>
        <w:t>第二条（財務諸表の作成に係る経過措置）</w:t>
      </w:r>
    </w:p>
    <w:p>
      <w:r>
        <w:t>この省令による改正後の国立研究開発法人日本原子力研究開発機構の財務及び会計等に関する省令第六条の規定は、令和三年四月一日以後に開始する事業年度に係る財務諸表から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国立研究開発法人日本原子力研究開発機構の財務及び会計等に関する省令</w:t>
      <w:br/>
      <w:tab/>
      <w:t>（平成十七年文部科学省・経済産業省令第二号）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国立研究開発法人日本原子力研究開発機構の財務及び会計等に関する省令（平成十七年文部科学省・経済産業省令第二号）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