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国立研究開発法人水産研究・教育機構の業務運営、財務及び会計並びに人事管理に関する省令</w:t>
        <w:br/>
        <w:t>（平成十三年農林水産省令第四十九号）</w:t>
      </w:r>
    </w:p>
    <w:p>
      <w:pPr>
        <w:pStyle w:val="Heading4"/>
      </w:pPr>
      <w:r>
        <w:t>第一条（通則法第八条第三項の主務省令で定める重要な財産）</w:t>
      </w:r>
    </w:p>
    <w:p>
      <w:r>
        <w:t>国立研究開発法人水産研究・教育機構（以下「機構」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の主務省令で定める書類は、国立研究開発法人水産研究・教育機構法（平成十一年法律第百九十九号。以下「機構法」という。）の規定に基づき農林水産大臣に提出する書類とする。</w:t>
      </w:r>
    </w:p>
    <w:p>
      <w:pPr>
        <w:pStyle w:val="Heading4"/>
      </w:pPr>
      <w:r>
        <w:t>第四条（業務方法書の記載事項）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機構法第十二条第一項第一号に規定する試験及び研究、調査、分析、鑑定並びに講習に関する事項</w:t>
      </w:r>
    </w:p>
    <w:p>
      <w:pPr>
        <w:pStyle w:val="Heading6"/>
        <w:ind w:left="880"/>
      </w:pPr>
      <w:r>
        <w:t>二</w:t>
      </w:r>
    </w:p>
    <w:p>
      <w:pPr>
        <w:ind w:left="880"/>
      </w:pPr>
      <w:r>
        <w:t>機構法第十二条第一項第二号に規定する種苗及び標本の生産及び配布に関する事項</w:t>
      </w:r>
    </w:p>
    <w:p>
      <w:pPr>
        <w:pStyle w:val="Heading6"/>
        <w:ind w:left="880"/>
      </w:pPr>
      <w:r>
        <w:t>三</w:t>
      </w:r>
    </w:p>
    <w:p>
      <w:pPr>
        <w:ind w:left="880"/>
      </w:pPr>
      <w:r>
        <w:t>機構法第十二条第一項第三号に規定する技術の開発に関する事項</w:t>
      </w:r>
    </w:p>
    <w:p>
      <w:pPr>
        <w:pStyle w:val="Heading6"/>
        <w:ind w:left="880"/>
      </w:pPr>
      <w:r>
        <w:t>四</w:t>
      </w:r>
    </w:p>
    <w:p>
      <w:pPr>
        <w:ind w:left="880"/>
      </w:pPr>
      <w:r>
        <w:t>機構法第十二条第一項第四号に規定するさけ類及びます類のふ化及び放流に関する事項</w:t>
      </w:r>
    </w:p>
    <w:p>
      <w:pPr>
        <w:pStyle w:val="Heading6"/>
        <w:ind w:left="880"/>
      </w:pPr>
      <w:r>
        <w:t>五</w:t>
      </w:r>
    </w:p>
    <w:p>
      <w:pPr>
        <w:ind w:left="880"/>
      </w:pPr>
      <w:r>
        <w:t>機構法第十二条第一項第五号に規定する学理及び技術の教授に関する事項</w:t>
      </w:r>
    </w:p>
    <w:p>
      <w:pPr>
        <w:pStyle w:val="Heading6"/>
        <w:ind w:left="880"/>
      </w:pPr>
      <w:r>
        <w:t>六</w:t>
      </w:r>
    </w:p>
    <w:p>
      <w:pPr>
        <w:ind w:left="880"/>
      </w:pPr>
      <w:r>
        <w:t>機構法第十二条第一項第六号に規定する出資並びに人的及び技術的援助に関する事項</w:t>
      </w:r>
    </w:p>
    <w:p>
      <w:pPr>
        <w:pStyle w:val="Heading6"/>
        <w:ind w:left="880"/>
      </w:pPr>
      <w:r>
        <w:t>七</w:t>
      </w:r>
    </w:p>
    <w:p>
      <w:pPr>
        <w:ind w:left="880"/>
      </w:pPr>
      <w:r>
        <w:t>機構法第十二条第二項第一号に規定する海洋水産資源の開発及び利用の合理化のための調査に関する事項</w:t>
      </w:r>
    </w:p>
    <w:p>
      <w:pPr>
        <w:pStyle w:val="Heading6"/>
        <w:ind w:left="880"/>
      </w:pPr>
      <w:r>
        <w:t>八</w:t>
      </w:r>
    </w:p>
    <w:p>
      <w:pPr>
        <w:ind w:left="880"/>
      </w:pPr>
      <w:r>
        <w:t>機構法第十二条第二項第二号に規定する新漁業生産方式の企業化のための調査に関する事項</w:t>
      </w:r>
    </w:p>
    <w:p>
      <w:pPr>
        <w:pStyle w:val="Heading6"/>
        <w:ind w:left="880"/>
      </w:pPr>
      <w:r>
        <w:t>九</w:t>
      </w:r>
    </w:p>
    <w:p>
      <w:pPr>
        <w:ind w:left="880"/>
      </w:pPr>
      <w:r>
        <w:t>機構法第十二条第二項第三号に規定する情報及び資料の収集及び提供に関する事項</w:t>
      </w:r>
    </w:p>
    <w:p>
      <w:pPr>
        <w:pStyle w:val="Heading6"/>
        <w:ind w:left="880"/>
      </w:pPr>
      <w:r>
        <w:t>十</w:t>
      </w:r>
    </w:p>
    <w:p>
      <w:pPr>
        <w:ind w:left="880"/>
      </w:pPr>
      <w:r>
        <w:t>機構法第十二条第二項第四号に規定する出資並びに人的及び技術的援助に関する事項</w:t>
      </w:r>
    </w:p>
    <w:p>
      <w:pPr>
        <w:pStyle w:val="Heading6"/>
        <w:ind w:left="880"/>
      </w:pPr>
      <w:r>
        <w:t>十一</w:t>
      </w:r>
    </w:p>
    <w:p>
      <w:pPr>
        <w:ind w:left="880"/>
      </w:pPr>
      <w:r>
        <w:t>機構法第十二条第四項に規定する立入り、質問、検査及び収去に関する事項</w:t>
      </w:r>
    </w:p>
    <w:p>
      <w:pPr>
        <w:pStyle w:val="Heading6"/>
        <w:ind w:left="880"/>
      </w:pPr>
      <w:r>
        <w:t>十二</w:t>
      </w:r>
    </w:p>
    <w:p>
      <w:pPr>
        <w:ind w:left="880"/>
      </w:pPr>
      <w:r>
        <w:t>業務委託の基準</w:t>
      </w:r>
    </w:p>
    <w:p>
      <w:pPr>
        <w:pStyle w:val="Heading6"/>
        <w:ind w:left="880"/>
      </w:pPr>
      <w:r>
        <w:t>十三</w:t>
      </w:r>
    </w:p>
    <w:p>
      <w:pPr>
        <w:ind w:left="880"/>
      </w:pPr>
      <w:r>
        <w:t>競争入札その他契約に関する基本的事項</w:t>
      </w:r>
    </w:p>
    <w:p>
      <w:pPr>
        <w:pStyle w:val="Heading6"/>
        <w:ind w:left="880"/>
      </w:pPr>
      <w:r>
        <w:t>十四</w:t>
      </w:r>
    </w:p>
    <w:p>
      <w:pPr>
        <w:ind w:left="880"/>
      </w:pPr>
      <w:r>
        <w:t>その他機構の業務の執行に関して必要な事項</w:t>
      </w:r>
    </w:p>
    <w:p>
      <w:pPr>
        <w:pStyle w:val="Heading4"/>
      </w:pPr>
      <w:r>
        <w:t>第五条（中長期計画の許可の申請）</w:t>
      </w:r>
    </w:p>
    <w:p>
      <w:r>
        <w:t>機構は、通則法第三十五条の五第一項の規定により中長期計画の認可を受けようとするときは、中長期計画を記載した申請書を、当該中長期計画の最初の事業年度開始の日の三十日前までに、農林水産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機構は、通則法第三十五条の五第一項後段の規定により中長期計画の変更の認可を受けようとするときは、変更しようとする事項及びその理由を記載した申請書を農林水産大臣に提出しなければならない。</w:t>
      </w:r>
    </w:p>
    <w:p>
      <w:pPr>
        <w:pStyle w:val="Heading4"/>
      </w:pPr>
      <w:r>
        <w:t>第六条（中長期計画に定めるべき業務運営に関する事項）</w:t>
      </w:r>
    </w:p>
    <w:p>
      <w:r>
        <w:t>機構に係る通則法第三十五条の五第二項第八号の主務省令で定める業務運営に関する事項は、次のとおりとする。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積立金の処分に関する事項</w:t>
      </w:r>
    </w:p>
    <w:p>
      <w:pPr>
        <w:pStyle w:val="Heading6"/>
        <w:ind w:left="880"/>
      </w:pPr>
      <w:r>
        <w:t>四</w:t>
      </w:r>
    </w:p>
    <w:p>
      <w:pPr>
        <w:ind w:left="880"/>
      </w:pPr>
      <w:r>
        <w:t>その他当該中長期目標を達成するために必要な事項</w:t>
      </w:r>
    </w:p>
    <w:p>
      <w:pPr>
        <w:pStyle w:val="Heading4"/>
      </w:pPr>
      <w:r>
        <w:t>第七条（年度計画に定めるべき事項等）</w:t>
      </w:r>
    </w:p>
    <w:p>
      <w:r>
        <w:t>年度計画には、中長期計画に定めた事項に関し、当該事業年度において実施すべき事項を定めなければならない。</w:t>
      </w:r>
    </w:p>
    <w:p>
      <w:pPr>
        <w:pStyle w:val="Heading5"/>
        <w:ind w:left="440"/>
      </w:pPr>
      <w:r>
        <w:t>２</w:t>
      </w:r>
    </w:p>
    <w:p>
      <w:pPr>
        <w:ind w:left="440"/>
      </w:pPr>
      <w:r>
        <w:t>機構は、通則法第三十五条の八において読み替えて準用する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機構に係る通則法第三十五条の六第三項の報告書には、当該報告書が次の表の上欄に掲げる報告書のいずれに該当するかに応じ、同表の下欄に掲げる事項を記載しなければならない。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機構に係る通則法第三十五条の六第三項の規定による公表は、同項の規定による報告書の提出後、速やかに、インターネットの利用その他の適切な方法により行うものとする。</w:t>
      </w:r>
    </w:p>
    <w:p>
      <w:pPr>
        <w:pStyle w:val="Heading4"/>
      </w:pPr>
      <w:r>
        <w:t>第九条（最初の国立研究開発法人の長の任期の終了時における業務実績等報告書）</w:t>
      </w:r>
    </w:p>
    <w:p>
      <w:r>
        <w:t>機構に係る通則法第三十五条の六第四項の報告書には、次に掲げる事項を記載しなければならない。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機構に係る通則法第三十五条の六第四項の規定による公表は、同項の規定による報告書の提出後、速やかに、インターネットの利用その他の適切な方法により行うものとする。</w:t>
      </w:r>
    </w:p>
    <w:p>
      <w:pPr>
        <w:pStyle w:val="Heading4"/>
      </w:pPr>
      <w:r>
        <w:t>第十条（調査結果の報告及び公表）</w:t>
      </w:r>
    </w:p>
    <w:p>
      <w:r>
        <w:t>機構法第十三条の規定による調査結果の報告は、その調査に係る航海終了後二月以内に、次の各号に掲げる事項を記載した書面を農林水産大臣に提出してしなければならない。</w:t>
      </w:r>
    </w:p>
    <w:p>
      <w:pPr>
        <w:pStyle w:val="Heading6"/>
        <w:ind w:left="880"/>
      </w:pPr>
      <w:r>
        <w:t>一</w:t>
      </w:r>
    </w:p>
    <w:p>
      <w:pPr>
        <w:ind w:left="880"/>
      </w:pPr>
      <w:r>
        <w:t>調査の対象となった漁業種類及び魚種並びに海域</w:t>
      </w:r>
    </w:p>
    <w:p>
      <w:pPr>
        <w:pStyle w:val="Heading6"/>
        <w:ind w:left="880"/>
      </w:pPr>
      <w:r>
        <w:t>二</w:t>
      </w:r>
    </w:p>
    <w:p>
      <w:pPr>
        <w:ind w:left="880"/>
      </w:pPr>
      <w:r>
        <w:t>調査に使用した船舶の構造、性能及び装備</w:t>
      </w:r>
    </w:p>
    <w:p>
      <w:pPr>
        <w:pStyle w:val="Heading6"/>
        <w:ind w:left="880"/>
      </w:pPr>
      <w:r>
        <w:t>三</w:t>
      </w:r>
    </w:p>
    <w:p>
      <w:pPr>
        <w:ind w:left="880"/>
      </w:pPr>
      <w:r>
        <w:t>操業期間、ひき網回数その他の操業状況</w:t>
      </w:r>
    </w:p>
    <w:p>
      <w:pPr>
        <w:pStyle w:val="Heading6"/>
        <w:ind w:left="880"/>
      </w:pPr>
      <w:r>
        <w:t>四</w:t>
      </w:r>
    </w:p>
    <w:p>
      <w:pPr>
        <w:ind w:left="880"/>
      </w:pPr>
      <w:r>
        <w:t>漁獲数量</w:t>
      </w:r>
    </w:p>
    <w:p>
      <w:pPr>
        <w:pStyle w:val="Heading6"/>
        <w:ind w:left="880"/>
      </w:pPr>
      <w:r>
        <w:t>五</w:t>
      </w:r>
    </w:p>
    <w:p>
      <w:pPr>
        <w:ind w:left="880"/>
      </w:pPr>
      <w:r>
        <w:t>調査の結果に対する所見その他参考となるべき事項</w:t>
      </w:r>
    </w:p>
    <w:p>
      <w:pPr>
        <w:pStyle w:val="Heading5"/>
        <w:ind w:left="440"/>
      </w:pPr>
      <w:r>
        <w:t>２</w:t>
      </w:r>
    </w:p>
    <w:p>
      <w:pPr>
        <w:ind w:left="440"/>
      </w:pPr>
      <w:r>
        <w:t>機構法第十三条の規定による調査結果の公表は、前項各号に掲げる事項の概要を記載した書面を機構の主たる事務所に備え置き縦覧に供するとともに、インターネットを利用することにより行わなければならない。</w:t>
      </w:r>
    </w:p>
    <w:p>
      <w:pPr>
        <w:pStyle w:val="Heading4"/>
      </w:pPr>
      <w:r>
        <w:t>第十一条（企業会計原則）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第十二条（区分経理の方法）</w:t>
      </w:r>
    </w:p>
    <w:p>
      <w:r>
        <w:t>機構は、機構法第十四条に規定する勘定として、同条第一号の業務に係る経理については研究・教育勘定を、同条第二号の業務に係る経理については海洋水産資源開発勘定を設けなければならない。</w:t>
      </w:r>
    </w:p>
    <w:p>
      <w:pPr>
        <w:pStyle w:val="Heading5"/>
        <w:ind w:left="440"/>
      </w:pPr>
      <w:r>
        <w:t>２</w:t>
      </w:r>
    </w:p>
    <w:p>
      <w:pPr>
        <w:ind w:left="440"/>
      </w:pPr>
      <w:r>
        <w:t>機構は、機構法第十四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の承認を受けて定める基準に従って、事業年度の期間中一括して整理し、当該事業年度の末日現在において各勘定に配分することにより整理することができる。</w:t>
      </w:r>
    </w:p>
    <w:p>
      <w:pPr>
        <w:pStyle w:val="Heading4"/>
      </w:pPr>
      <w:r>
        <w:t>第十三条（償却資産の指定等）</w:t>
      </w:r>
    </w:p>
    <w:p>
      <w:r>
        <w:t>農林水産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第十四条（譲渡差額を損益計算上の損益に計上しない譲渡取引）</w:t>
      </w:r>
    </w:p>
    <w:p>
      <w:r>
        <w:t>農林水産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第十五条（対応する収益の獲得が予定されない資産除去債務に係る除去費用等）</w:t>
      </w:r>
    </w:p>
    <w:p>
      <w:r>
        <w:t>農林水産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第十六条（財務諸表）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第十七条（事業報告書の作成）</w:t>
      </w:r>
    </w:p>
    <w:p>
      <w:r>
        <w:t>機構に係る通則法第三十八条第二項の規定による事業報告書の作成については、この条の定めるところによる。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br/>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br/>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業績の適性な評価に資する情報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第十八条（財務諸表等の閲覧期間）</w:t>
      </w:r>
    </w:p>
    <w:p>
      <w:r>
        <w:t>機構に係る通則法第三十八条第三項の主務省令で定める期間は、五年とする。</w:t>
      </w:r>
    </w:p>
    <w:p>
      <w:pPr>
        <w:pStyle w:val="Heading4"/>
      </w:pPr>
      <w:r>
        <w:t>第十九条（会計監査報告の作成）</w:t>
      </w:r>
    </w:p>
    <w:p>
      <w:r>
        <w:t>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第二十一条（通則法第四十八条の主務省令で定める重要な財産）</w:t>
      </w:r>
    </w:p>
    <w:p>
      <w:r>
        <w:t>機構に係る通則法第四十八条の主務省令で定める重要な財産は、次に掲げるものとする。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総トン数五十トン以上の船舶</w:t>
      </w:r>
    </w:p>
    <w:p>
      <w:pPr>
        <w:pStyle w:val="Heading4"/>
      </w:pPr>
      <w:r>
        <w:t>第二十二条（通則法第四十八条の主務省令で定める重要な財産の処分等の認可の申請）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第二十三条（積立金の処分に係る承認申請書の添付書類）</w:t>
      </w:r>
    </w:p>
    <w:p>
      <w:r>
        <w:t>機構に係る独立行政法人の組織、運営及び管理に係る共通的な事項に関する政令第二十一条第三項において準用する同条第二項の農林水産省令で定める書類は、同条第一項に規定する期間最後の事業年度の事業年度末の貸借対照表及び当該事業年度の損益計算書とする。</w:t>
      </w:r>
    </w:p>
    <w:p>
      <w:pPr>
        <w:pStyle w:val="Heading4"/>
      </w:pPr>
      <w:r>
        <w:t>第二十四条（内部組織）</w:t>
      </w:r>
    </w:p>
    <w:p>
      <w:r>
        <w:t>機構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第二十五条（管理又は監督の地位）</w:t>
      </w:r>
    </w:p>
    <w:p>
      <w:r>
        <w:t>機構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r>
        <w:t>この省令は、公布の日から施行する。</w:t>
      </w:r>
    </w:p>
    <w:p>
      <w:pPr>
        <w:pStyle w:val="Heading5"/>
        <w:ind w:left="440"/>
      </w:pPr>
      <w:r>
        <w:t>２</w:t>
      </w:r>
    </w:p>
    <w:p>
      <w:pPr>
        <w:ind w:left="440"/>
      </w:pPr>
      <w:r>
        <w:t>センターの成立の際センター法附則第五条第二項の規定により、政府から出資があったものとされる同項の財産のうち建物（その建物に附属する工作物を含む。）、工作物及び船舶については、第九条第一項の指定を受けたものとみなして、同条第二項の規定を適用する。</w:t>
      </w:r>
    </w:p>
    <w:p>
      <w:pPr>
        <w:pStyle w:val="Heading5"/>
        <w:ind w:left="440"/>
      </w:pPr>
      <w:r>
        <w:t>３</w:t>
      </w:r>
    </w:p>
    <w:p>
      <w:pPr>
        <w:ind w:left="440"/>
      </w:pPr>
      <w:r>
        <w:t>センター法附則第五条第三項及び第六条第二項の規定による評価に関する庶務は、水産庁増殖推進部研究指導課において処理する。</w:t>
      </w:r>
    </w:p>
    <w:p>
      <w:r>
        <w:br w:type="page"/>
      </w:r>
    </w:p>
    <w:p>
      <w:pPr>
        <w:pStyle w:val="Heading1"/>
      </w:pPr>
      <w:r>
        <w:t>附　則（平成一五年九月一〇日農林水産省令第九〇号）</w:t>
      </w:r>
    </w:p>
    <w:p>
      <w:pPr>
        <w:pStyle w:val="Heading4"/>
      </w:pPr>
      <w:r>
        <w:t>第一条（施行期日）</w:t>
      </w:r>
    </w:p>
    <w:p>
      <w:r>
        <w:t>この省令は、平成十五年十月一日から施行する。</w:t>
      </w:r>
    </w:p>
    <w:p>
      <w:pPr>
        <w:pStyle w:val="Heading4"/>
      </w:pPr>
      <w:r>
        <w:t>第二条（経過措置）</w:t>
      </w:r>
    </w:p>
    <w:p>
      <w:r>
        <w:t>独立行政法人水産総合研究センター法の一部を改正する法律附則第二条第二項の規定により政府から出資があったものとされる同項の財産のうち建物（その建物に附属する工作物を含む。）及び工作物については、第九条第一項の指定を受けたものとみなして、同条第二項の規定を適用する。</w:t>
      </w:r>
    </w:p>
    <w:p>
      <w:pPr>
        <w:pStyle w:val="Heading4"/>
      </w:pPr>
      <w:r>
        <w:t>第三条（海洋水産資源開発センターの業務方法書に記載すべき事項を定める省令等の廃止）</w:t>
      </w:r>
    </w:p>
    <w:p>
      <w:r>
        <w:t>次に掲げる省令は廃止する。</w:t>
      </w:r>
    </w:p>
    <w:p>
      <w:pPr>
        <w:pStyle w:val="Heading6"/>
        <w:ind w:left="880"/>
      </w:pPr>
      <w:r>
        <w:t>一</w:t>
      </w:r>
    </w:p>
    <w:p>
      <w:pPr>
        <w:ind w:left="880"/>
      </w:pPr>
      <w:r>
        <w:t>海洋水産資源開発センターの業務方法書に記載すべき事項を定める省令（昭和四十六年農林省令第四十九号）</w:t>
      </w:r>
    </w:p>
    <w:p>
      <w:pPr>
        <w:pStyle w:val="Heading6"/>
        <w:ind w:left="880"/>
      </w:pPr>
      <w:r>
        <w:t>二</w:t>
      </w:r>
    </w:p>
    <w:p>
      <w:pPr>
        <w:ind w:left="880"/>
      </w:pPr>
      <w:r>
        <w:t>海洋水産資源開発センターの財務及び会計に関する省令（昭和四十六年農林省令第五十号）</w:t>
      </w:r>
    </w:p>
    <w:p>
      <w:r>
        <w:br w:type="page"/>
      </w:r>
    </w:p>
    <w:p>
      <w:pPr>
        <w:pStyle w:val="Heading1"/>
      </w:pPr>
      <w:r>
        <w:t>附　則（平成一六年一月二二日農林水産省令第六号）</w:t>
      </w:r>
    </w:p>
    <w:p>
      <w:r>
        <w:t>この省令は、遺伝子組換え生物等の使用等の規制による生物の多様性の確保に関する法律の施行の日から施行する。</w:t>
      </w:r>
    </w:p>
    <w:p>
      <w:r>
        <w:br w:type="page"/>
      </w:r>
    </w:p>
    <w:p>
      <w:pPr>
        <w:pStyle w:val="Heading1"/>
      </w:pPr>
      <w:r>
        <w:t>附　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　則（平成一九年三月二六日農林水産省令第一三号）</w:t>
      </w:r>
    </w:p>
    <w:p>
      <w:r>
        <w:t>この省令は、公布の日から施行する。</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則（平成二七年三月二七日農林水産省令第二六号）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国立研究開発法人水産総合研究センターの業務運営、財務及び会計並びに人事管理に関する省令（次条において「新省令」という。）第八条第一項の規定の適用については、同項の表中「通則法第三十五条の四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三十五条の四第二項第二号から第五号」とあるのは「旧法第二十九条第二項第二号から第五号」とする。</w:t>
      </w:r>
    </w:p>
    <w:p>
      <w:pPr>
        <w:pStyle w:val="Heading4"/>
      </w:pPr>
      <w:r>
        <w:t>第三条（事業報告書に関する経過措置）</w:t>
      </w:r>
    </w:p>
    <w:p>
      <w:r>
        <w:t>新省令第十七条第三項の規定は、この省令の施行の日以後に開始する事業年度に係る事業報告書から適用する。</w:t>
      </w:r>
    </w:p>
    <w:p>
      <w:r>
        <w:br w:type="page"/>
      </w:r>
    </w:p>
    <w:p>
      <w:pPr>
        <w:pStyle w:val="Heading1"/>
      </w:pPr>
      <w:r>
        <w:t>附　則（平成二八年三月三〇日農林水産省令第二一号）</w:t>
      </w:r>
    </w:p>
    <w:p>
      <w:pPr>
        <w:pStyle w:val="Heading4"/>
      </w:pPr>
      <w:r>
        <w:t>第一条（施行期日）</w:t>
      </w:r>
    </w:p>
    <w:p>
      <w:r>
        <w:t>この省令は、平成二十八年四月一日から施行する。</w:t>
      </w:r>
    </w:p>
    <w:p>
      <w:pPr>
        <w:pStyle w:val="Heading4"/>
      </w:pPr>
      <w:r>
        <w:t>第五条（国立研究開発法人水産研究・教育機構の内部組織に関する経過措置）</w:t>
      </w:r>
    </w:p>
    <w:p>
      <w:r>
        <w:t>整備法附則第十三条の規定により読み替えて適用する通則法第五十条の十一において準用する通則法第五十条の六第一号に規定する離職前五年間に在職していた旧水産大学校の内部組織として主務省令で定めるものは、施行日の前日に存していた旧水産大学校の理事長の直近下位の内部組織として農林水産大臣が定めるもの（以下「旧水産大学校解散時内部組織」という。）であって再就職者が離職前五年間に在職していたものとする。</w:t>
      </w:r>
    </w:p>
    <w:p>
      <w:pPr>
        <w:pStyle w:val="Heading5"/>
        <w:ind w:left="440"/>
      </w:pPr>
      <w:r>
        <w:t>２</w:t>
      </w:r>
    </w:p>
    <w:p>
      <w:pPr>
        <w:ind w:left="440"/>
      </w:pPr>
      <w:r>
        <w:t>施行日の前日前に存していた旧水産大学校の理事長の直近下位の内部組織として農林水産大臣が定めるものであって再就職者が離職前五年間に在職していたものが行っていた業務を旧水産大学校解散時内部組織（当該内部組織が旧水産大学校解散時内部組織である場合にあっては、他の旧水産大学校解散時内部組織）が行っていた場合における前項の規定の適用については、当該再就職者が離職前五年間に当該旧水産大学校解散時内部組織に在職していたものとみなす。</w:t>
      </w:r>
    </w:p>
    <w:p>
      <w:pPr>
        <w:pStyle w:val="Heading5"/>
        <w:ind w:left="440"/>
      </w:pPr>
      <w:r>
        <w:t>３</w:t>
      </w:r>
    </w:p>
    <w:p>
      <w:pPr>
        <w:ind w:left="440"/>
      </w:pPr>
      <w:r>
        <w:t>整備法附則第十三条の規定により読み替えて適用する通則法第五十条の十一において準用する通則法第五十条の六第一号に規定する国立研究開発法人水産研究・教育機構の内部組織として主務省令で定めるものは、現に存する理事長の直近下位の内部組織のうち、旧水産大学校解散時内部組織が行っていた業務を行うものとして農林水産大臣が定めるものとする。</w:t>
      </w:r>
    </w:p>
    <w:p>
      <w:pPr>
        <w:pStyle w:val="Heading4"/>
      </w:pPr>
      <w:r>
        <w:t>第六条（国立研究開発法人水産研究・教育機構の管理又は監督の地位に関する経過措置）</w:t>
      </w:r>
    </w:p>
    <w:p>
      <w:r>
        <w:t>国立研究開発法人水産研究・教育機構に係る整備法附則第十三条の規定により読み替えて適用する通則法第五十条の十一において準用する通則法第五十条の六第二号の主務省令で定める管理又は監督の地位は、職員の退職管理に関する政令第二十七条第六号に規定する職員が就いている官職に相当するものとして農林水産大臣が定めるものとする。</w:t>
      </w:r>
    </w:p>
    <w:p>
      <w:r>
        <w:br w:type="page"/>
      </w:r>
    </w:p>
    <w:p>
      <w:pPr>
        <w:pStyle w:val="Heading1"/>
      </w:pPr>
      <w:r>
        <w:t>附　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第三条（経過措置）</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一から四まで</w:t>
      </w:r>
    </w:p>
    <w:p>
      <w:pPr>
        <w:ind w:left="880"/>
      </w:pPr>
      <w:r>
        <w:t>略</w:t>
      </w:r>
    </w:p>
    <w:p>
      <w:pPr>
        <w:pStyle w:val="Heading6"/>
        <w:ind w:left="880"/>
      </w:pPr>
      <w:r>
        <w:t>五</w:t>
      </w:r>
    </w:p>
    <w:p>
      <w:pPr>
        <w:ind w:left="880"/>
      </w:pPr>
      <w:r>
        <w:t>国立研究開発法人水産研究・教育機構の業務運営、財務及び会計並びに人事管理に関する省令第十六条及び第十七条第二項</w:t>
      </w:r>
    </w:p>
    <w:p>
      <w:r>
        <w:br w:type="page"/>
      </w:r>
    </w:p>
    <w:p>
      <w:pPr>
        <w:pStyle w:val="Heading1"/>
      </w:pPr>
      <w:r>
        <w:t>附　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国立研究開発法人水産研究・教育機構の業務運営、財務及び会計並びに人事管理に関する省令</w:t>
      <w:br/>
      <w:tab/>
      <w:t>（平成十三年農林水産省令第四十九号）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国立研究開発法人水産研究・教育機構の業務運営、財務及び会計並びに人事管理に関する省令（平成十三年農林水産省令第四十九号）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