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国立研究開発法人量子科学技術研究開発機構法第二十条の規定による医療法施行令等の規定の技術的読替え等に関する政令</w:t>
        <w:br/>
        <w:t>（平成十二年政令第三百二十七号）</w:t>
      </w:r>
    </w:p>
    <w:p>
      <w:pPr>
        <w:pStyle w:val="Heading4"/>
      </w:pPr>
      <w:r>
        <w:t>第一条（技術的読替え）</w:t>
      </w:r>
    </w:p>
    <w:p>
      <w:r>
        <w:t>国立研究開発法人量子科学技術研究開発機構法（平成十一年法律第百七十六号）第二十条の規定による技術的読替えは、次の表のとおりとする。</w:t>
      </w:r>
    </w:p>
    <w:p>
      <w:pPr>
        <w:pStyle w:val="Heading4"/>
      </w:pPr>
      <w:r>
        <w:t>第二条（医療法施行令第四条の五の規定の適用の特例）</w:t>
      </w:r>
    </w:p>
    <w:p>
      <w:r>
        <w:t>医療法施行令第四条の五の規定の適用については、国立研究開発法人量子科学技術研究開発機構は、国とみなす。</w:t>
      </w:r>
    </w:p>
    <w:p>
      <w:r>
        <w:br w:type="page"/>
      </w:r>
    </w:p>
    <w:p>
      <w:pPr>
        <w:pStyle w:val="Heading1"/>
      </w:pPr>
      <w:r>
        <w:t>附　則</w:t>
      </w:r>
    </w:p>
    <w:p>
      <w:r>
        <w:t>この政令は、平成十三年四月一日から施行する。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則（令和元年一二月二五日政令第二〇九号）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国立研究開発法人量子科学技術研究開発機構法第二十条の規定による医療法施行令等の規定の技術的読替え等に関する政令</w:t>
      <w:br/>
      <w:tab/>
      <w:t>（平成十二年政令第三百二十七号）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国立研究開発法人量子科学技術研究開発機構法第二十条の規定による医療法施行令等の規定の技術的読替え等に関する政令（平成十二年政令第三百二十七号）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