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国等による環境物品等の調達の推進等に関する法律第二条第二項の法人を定める政令</w:t>
        <w:br/>
        <w:t>（平成十二年政令第五百五十六号）</w:t>
      </w:r>
    </w:p>
    <w:p>
      <w:r>
        <w:t>国等による環境物品等の調達の推進等に関する法律第二条第二項の政令で定める法人は、次のとおりとする。</w:t>
      </w:r>
    </w:p>
    <w:p>
      <w:pPr>
        <w:pStyle w:val="Heading6"/>
        <w:ind w:left="880"/>
      </w:pPr>
      <w:r>
        <w:t>一</w:t>
      </w:r>
    </w:p>
    <w:p>
      <w:pPr>
        <w:ind w:left="880"/>
      </w:pPr>
      <w: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Heading6"/>
        <w:ind w:left="880"/>
      </w:pPr>
      <w:r>
        <w:t>二</w:t>
      </w:r>
    </w:p>
    <w:p>
      <w:pPr>
        <w:ind w:left="880"/>
      </w:pPr>
      <w:r>
        <w:t>日本私立学校振興・共済事業団</w:t>
      </w:r>
    </w:p>
    <w:p>
      <w:pPr>
        <w:pStyle w:val="Heading6"/>
        <w:ind w:left="880"/>
      </w:pPr>
      <w:r>
        <w:t>三</w:t>
      </w:r>
    </w:p>
    <w:p>
      <w:pPr>
        <w:ind w:left="880"/>
      </w:pPr>
      <w:r>
        <w:t>沖縄振興開発金融公庫</w:t>
      </w:r>
    </w:p>
    <w:p>
      <w:pPr>
        <w:pStyle w:val="Heading6"/>
        <w:ind w:left="880"/>
      </w:pPr>
      <w:r>
        <w:t>四</w:t>
      </w:r>
    </w:p>
    <w:p>
      <w:pPr>
        <w:ind w:left="880"/>
      </w:pPr>
      <w:r>
        <w:t>株式会社国際協力銀行及び株式会社日本政策金融公庫</w:t>
      </w:r>
    </w:p>
    <w:p>
      <w:pPr>
        <w:pStyle w:val="Heading6"/>
        <w:ind w:left="880"/>
      </w:pPr>
      <w:r>
        <w:t>五</w:t>
      </w:r>
    </w:p>
    <w:p>
      <w:pPr>
        <w:ind w:left="880"/>
      </w:pPr>
      <w:r>
        <w:t>日本中央競馬会及び日本年金機構</w:t>
      </w:r>
    </w:p>
    <w:p>
      <w:r>
        <w:br w:type="page"/>
      </w:r>
    </w:p>
    <w:p>
      <w:pPr>
        <w:pStyle w:val="Heading1"/>
      </w:pPr>
      <w:r>
        <w:t>附　則</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則（平成一三年三月一六日政令第五二号）</w:t>
      </w:r>
    </w:p>
    <w:p>
      <w:r>
        <w:t>この政令は、平成十三年四月一日から施行する。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則（平成一五年七月三〇日政令第三四一号）</w:t>
      </w:r>
    </w:p>
    <w:p>
      <w:r>
        <w:t>この政令は、平成十五年十月一日から施行する。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則（平成一六年三月二六日政令第八一号）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pPr>
        <w:pStyle w:val="Heading5"/>
        <w:ind w:left="440"/>
      </w:pPr>
      <w:r>
        <w:t>２</w:t>
      </w:r>
    </w:p>
    <w:p>
      <w:pPr>
        <w:ind w:left="440"/>
      </w:pPr>
      <w:r>
        <w:t>機構は、第十一条の規定による改正前の電波法施行令第十五条第三号に掲げる独立行政法人が平成二十八年四月一日前に免許の申請をした無線局に限り、電波法（昭和二十五年法律第百三十一号）第百四条第一項の政令で定める独立行政法人とみなす。</w:t>
      </w:r>
    </w:p>
    <w:p>
      <w:r>
        <w:br w:type="page"/>
      </w:r>
    </w:p>
    <w:p>
      <w:pPr>
        <w:pStyle w:val="Heading1"/>
      </w:pPr>
      <w:r>
        <w:t>附　則（平成二八年一月二六日政令第二一号）</w:t>
      </w:r>
    </w:p>
    <w:p>
      <w:r>
        <w:t>この政令は、平成二十八年四月一日から施行する。</w:t>
      </w:r>
    </w:p>
    <w:p>
      <w:pPr>
        <w:pStyle w:val="Heading5"/>
        <w:ind w:left="440"/>
      </w:pPr>
      <w:r>
        <w:t>２</w:t>
      </w:r>
    </w:p>
    <w:p>
      <w:pPr>
        <w:ind w:left="440"/>
      </w:pPr>
      <w:r>
        <w:t>自動車検査独立行政法人の理事長は、この政令の施行の日前においても、第二十一条第一項の国有財産の無償使用の申請を行うことができる。</w:t>
      </w:r>
    </w:p>
    <w:p>
      <w:r>
        <w:br w:type="page"/>
      </w:r>
    </w:p>
    <w:p>
      <w:pPr>
        <w:pStyle w:val="Heading1"/>
      </w:pPr>
      <w:r>
        <w:t>附　則（平成二八年三月九日政令第五七号）</w:t>
      </w:r>
    </w:p>
    <w:p>
      <w:r>
        <w:t>この政令は、平成二十八年四月一日から施行する。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５</w:t>
      </w:r>
    </w:p>
    <w:p>
      <w:pPr>
        <w:ind w:left="440"/>
      </w:pPr>
      <w:r>
        <w:t>前項の規定は、第二項（第三項において準用する場合を含む。）の従前の算定方法により算定した額について準用する。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第八条（電波法施行令の一部改正に伴う経過措置）</w:t>
      </w:r>
    </w:p>
    <w:p>
      <w:r>
        <w:t>機構は、第十六条の規定による改正前の電波法施行令第十五条第四号に掲げる独立行政法人が施行日前に免許の申請をした無線局に限り、電波法（昭和二十五年法律第百三十一号）第百四条第一項の政令で定める独立行政法人とみなす。</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pPr>
        <w:pStyle w:val="Heading4"/>
      </w:pPr>
      <w:r>
        <w:t>第二条（独立行政法人の組織、運営及び管理に係る共通的な事項に関する政令の一部改正に伴う経過措置）</w:t>
      </w:r>
    </w:p>
    <w:p>
      <w:r>
        <w:t>整備法附則第六条第一項の規定により研究機構が同項に規定する特例業務を行う場合における第十五条の規定による改正後の共通事項政令第一条の規定の適用については、同条第二号中「業務（」とあるのは「業務及び独立行政法人に係る改革を推進するための農林水産省関係法律の整備に関する法律（平成二十七年法律第七十号）第一条の規定による改正前の国立研究開発法人農業・食品産業技術総合研究機構法第十四条第一項第六号に掲げる業務（当該業務に係る同項第九号に掲げる業務を含む。）（いずれも」と、「及びこれに」とあるのは「並びにこれらに」とする。</w:t>
      </w:r>
    </w:p>
    <w:p>
      <w:pPr>
        <w:pStyle w:val="Heading4"/>
      </w:pPr>
      <w:r>
        <w:t>第三条（電波法施行令の一部改正に伴う経過措置）</w:t>
      </w:r>
    </w:p>
    <w:p>
      <w:r>
        <w:t>研究・教育機構は、第十七条の規定による改正前の電波法施行令第十五条第五号に掲げる独立行政法人がこの政令の施行の日前に免許の申請をした無線局に限り、電波法（昭和二十五年法律第百三十一号）第百四条第一項の政令で定める独立行政法人とみなす。</w:t>
      </w:r>
    </w:p>
    <w:p>
      <w:pPr>
        <w:pStyle w:val="Heading4"/>
      </w:pPr>
      <w:r>
        <w:t>第四条（水銀による環境の汚染の防止に関する法律施行令の一部改正）</w:t>
      </w:r>
    </w:p>
    <w:p>
      <w:r>
        <w:t>水銀による環境の汚染の防止に関する法律施行令（平成二十七年政令第三百七十八号）の一部を次のように改正する。</w:t>
      </w:r>
    </w:p>
    <w:p>
      <w:pPr>
        <w:pStyle w:val="Heading6"/>
        <w:ind w:left="880"/>
      </w:pPr>
      <w:r>
        <w:t>十三</w:t>
      </w:r>
    </w:p>
    <w:p>
      <w:pPr>
        <w:ind w:left="880"/>
      </w:pPr>
      <w:r>
        <w:t>水銀による環境の汚染の防止に関する法律（平成二十七年法律第四十二号）</w:t>
      </w:r>
    </w:p>
    <w:p>
      <w:pPr>
        <w:pStyle w:val="Heading6"/>
        <w:ind w:left="880"/>
      </w:pPr>
      <w:r>
        <w:t>九</w:t>
      </w:r>
    </w:p>
    <w:p>
      <w:pPr>
        <w:ind w:left="880"/>
      </w:pPr>
      <w:r>
        <w:t>水銀による環境の汚染の防止に関する法律（平成二十七年法律第四十二号）</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pPr>
        <w:pStyle w:val="Heading5"/>
        <w:ind w:left="440"/>
      </w:pPr>
      <w:r>
        <w:t>２</w:t>
      </w:r>
    </w:p>
    <w:p>
      <w:pPr>
        <w:ind w:left="440"/>
      </w:pPr>
      <w:r>
        <w:t>この政令の施行の日から平成三十年三月三十一日までの間における第三条の規定による改正後の国家公務員退職手当法施行令第九条の二第百八十五号の規定の適用については、同号中「教育公務員特例法等の一部を改正する法律」とあるのは、「教育公務員特例法等の一部を改正する法律（平成二十八年法律第八十七号）」とする。</w:t>
      </w:r>
    </w:p>
    <w:p>
      <w:pPr>
        <w:pStyle w:val="Heading5"/>
        <w:ind w:left="440"/>
      </w:pPr>
      <w:r>
        <w:t>３</w:t>
      </w:r>
    </w:p>
    <w:p>
      <w:pPr>
        <w:ind w:left="440"/>
      </w:pPr>
      <w:r>
        <w:t>国家戦略特別区域法施行令（平成二十六年政令第九十九号）の一部を次のように改正する。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国等による環境物品等の調達の推進等に関する法律第二条第二項の法人を定める政令</w:t>
      <w:br/>
      <w:tab/>
      <w:t>（平成十二年政令第五百五十六号）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国等による環境物品等の調達の推進等に関する法律第二条第二項の法人を定める政令（平成十二年政令第五百五十六号）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