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国等による障害者就労施設等からの物品等の調達の推進等に関する法律施行令第一条第二号イからハまでに規定する厚生労働省令で定める割合を定める省令</w:t>
        <w:br/>
        <w:t>（平成二十五年厚生労働省令第七号）</w:t>
      </w:r>
    </w:p>
    <w:p>
      <w:r>
        <w:t>国等による障害者就労施設等からの物品等の調達の推進等に関する法律施行令第一条第二号イからハまでに規定する厚生労働省令で定める割合は、二分の一とする。</w:t>
      </w:r>
    </w:p>
    <w:p>
      <w:r>
        <w:br w:type="page"/>
      </w:r>
    </w:p>
    <w:p>
      <w:pPr>
        <w:pStyle w:val="Heading1"/>
      </w:pPr>
      <w:r>
        <w:t>附　則</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国等による障害者就労施設等からの物品等の調達の推進等に関する法律施行令第一条第二号イからハまでに規定する厚生労働省令で定める割合を定める省令</w:t>
      <w:br/>
      <w:tab/>
      <w:t>（平成二十五年厚生労働省令第七号）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国等による障害者就労施設等からの物品等の調達の推進等に関する法律施行令第一条第二号イからハまでに規定する厚生労働省令で定める割合を定める省令（平成二十五年厚生労働省令第七号）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